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Cannae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DAN GROPPER</w:t>
              <w:br/>
              <w:t>CARRONADE CAPITAL MANAGEMENT, LP, 17 Old Kings Highway South, Suite 140</w:t>
              <w:br/>
              <w:t>Darien, CT, 06820</w:t>
              <w:br/>
              <w:t>203-485-0880</w:t>
            </w:r>
          </w:p>
          <w:p>
            <w:pPr>
              <w:pStyle w:val="TableContents"/>
              <w:bidi w:val="0"/>
              <w:jc w:val="left"/>
              <w:rPr/>
            </w:pPr>
            <w:r>
              <w:rPr/>
            </w:r>
          </w:p>
          <w:p>
            <w:pPr>
              <w:pStyle w:val="TableContents"/>
              <w:bidi w:val="0"/>
              <w:spacing w:before="0" w:after="0"/>
              <w:jc w:val="center"/>
              <w:rPr>
                <w:b/>
                <w:color w:val="0000FF"/>
              </w:rPr>
            </w:pPr>
            <w:r>
              <w:rPr>
                <w:b/>
                <w:color w:val="0000FF"/>
              </w:rPr>
              <w:t>MEAGAN REDA,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4"/>
        <w:gridCol w:w="7941"/>
      </w:tblGrid>
      <w:tr>
        <w:trPr/>
        <w:tc>
          <w:tcPr>
            <w:tcW w:w="2264" w:type="dxa"/>
            <w:tcBorders/>
            <w:vAlign w:val="center"/>
          </w:tcPr>
          <w:p>
            <w:pPr>
              <w:pStyle w:val="TableContents"/>
              <w:bidi w:val="0"/>
              <w:spacing w:before="0" w:after="283"/>
              <w:jc w:val="left"/>
              <w:rPr/>
            </w:pPr>
            <w:r>
              <w:rPr/>
              <w:t>1</w:t>
            </w:r>
          </w:p>
        </w:tc>
        <w:tc>
          <w:tcPr>
            <w:tcW w:w="794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CARRONADE CAPITAL MANAGEMENT, LP</w:t>
            </w:r>
          </w:p>
        </w:tc>
      </w:tr>
      <w:tr>
        <w:trPr/>
        <w:tc>
          <w:tcPr>
            <w:tcW w:w="2264" w:type="dxa"/>
            <w:tcBorders/>
            <w:vAlign w:val="center"/>
          </w:tcPr>
          <w:p>
            <w:pPr>
              <w:pStyle w:val="TableContents"/>
              <w:bidi w:val="0"/>
              <w:spacing w:before="0" w:after="283"/>
              <w:jc w:val="left"/>
              <w:rPr/>
            </w:pPr>
            <w:r>
              <w:rPr/>
              <w:t>2</w:t>
            </w:r>
          </w:p>
        </w:tc>
        <w:tc>
          <w:tcPr>
            <w:tcW w:w="79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64" w:type="dxa"/>
            <w:tcBorders/>
            <w:vAlign w:val="center"/>
          </w:tcPr>
          <w:p>
            <w:pPr>
              <w:pStyle w:val="TableContents"/>
              <w:bidi w:val="0"/>
              <w:spacing w:before="0" w:after="283"/>
              <w:jc w:val="left"/>
              <w:rPr/>
            </w:pPr>
            <w:r>
              <w:rPr/>
              <w:t>3</w:t>
            </w:r>
          </w:p>
        </w:tc>
        <w:tc>
          <w:tcPr>
            <w:tcW w:w="7941" w:type="dxa"/>
            <w:tcBorders/>
            <w:vAlign w:val="center"/>
          </w:tcPr>
          <w:p>
            <w:pPr>
              <w:pStyle w:val="TableContents"/>
              <w:bidi w:val="0"/>
              <w:spacing w:before="0" w:after="283"/>
              <w:jc w:val="left"/>
              <w:rPr/>
            </w:pPr>
            <w:r>
              <w:rPr/>
              <w:t>SEC use only</w:t>
            </w:r>
          </w:p>
        </w:tc>
      </w:tr>
      <w:tr>
        <w:trPr/>
        <w:tc>
          <w:tcPr>
            <w:tcW w:w="2264" w:type="dxa"/>
            <w:tcBorders/>
            <w:vAlign w:val="center"/>
          </w:tcPr>
          <w:p>
            <w:pPr>
              <w:pStyle w:val="TableContents"/>
              <w:bidi w:val="0"/>
              <w:spacing w:before="0" w:after="283"/>
              <w:jc w:val="left"/>
              <w:rPr/>
            </w:pPr>
            <w:r>
              <w:rPr/>
              <w:t>4</w:t>
            </w:r>
          </w:p>
        </w:tc>
        <w:tc>
          <w:tcPr>
            <w:tcW w:w="794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64" w:type="dxa"/>
            <w:tcBorders/>
            <w:vAlign w:val="center"/>
          </w:tcPr>
          <w:p>
            <w:pPr>
              <w:pStyle w:val="TableContents"/>
              <w:bidi w:val="0"/>
              <w:spacing w:before="0" w:after="283"/>
              <w:jc w:val="left"/>
              <w:rPr/>
            </w:pPr>
            <w:r>
              <w:rPr/>
              <w:t>5</w:t>
            </w:r>
          </w:p>
        </w:tc>
        <w:tc>
          <w:tcPr>
            <w:tcW w:w="794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64" w:type="dxa"/>
            <w:tcBorders/>
            <w:vAlign w:val="center"/>
          </w:tcPr>
          <w:p>
            <w:pPr>
              <w:pStyle w:val="TableContents"/>
              <w:bidi w:val="0"/>
              <w:spacing w:before="0" w:after="283"/>
              <w:jc w:val="left"/>
              <w:rPr/>
            </w:pPr>
            <w:r>
              <w:rPr/>
              <w:t>6</w:t>
            </w:r>
          </w:p>
        </w:tc>
        <w:tc>
          <w:tcPr>
            <w:tcW w:w="79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3,533,733.00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3,533,733.00</w:t>
                  </w:r>
                </w:p>
              </w:tc>
            </w:tr>
          </w:tbl>
          <w:p>
            <w:pPr>
              <w:pStyle w:val="TableContents"/>
              <w:bidi w:val="0"/>
              <w:spacing w:before="0" w:after="283"/>
              <w:jc w:val="left"/>
              <w:rPr/>
            </w:pPr>
            <w:r>
              <w:rPr/>
            </w:r>
          </w:p>
        </w:tc>
        <w:tc>
          <w:tcPr>
            <w:tcW w:w="7941" w:type="dxa"/>
            <w:tcBorders/>
            <w:vAlign w:val="center"/>
          </w:tcPr>
          <w:p>
            <w:pPr>
              <w:pStyle w:val="TableContents"/>
              <w:bidi w:val="0"/>
              <w:spacing w:before="0" w:after="283"/>
              <w:jc w:val="left"/>
              <w:rPr>
                <w:sz w:val="4"/>
                <w:szCs w:val="4"/>
              </w:rPr>
            </w:pPr>
            <w:r>
              <w:rPr>
                <w:sz w:val="4"/>
                <w:szCs w:val="4"/>
              </w:rPr>
            </w:r>
          </w:p>
        </w:tc>
      </w:tr>
      <w:tr>
        <w:trPr/>
        <w:tc>
          <w:tcPr>
            <w:tcW w:w="2264" w:type="dxa"/>
            <w:tcBorders/>
            <w:vAlign w:val="center"/>
          </w:tcPr>
          <w:p>
            <w:pPr>
              <w:pStyle w:val="TableContents"/>
              <w:bidi w:val="0"/>
              <w:spacing w:before="0" w:after="283"/>
              <w:jc w:val="left"/>
              <w:rPr/>
            </w:pPr>
            <w:r>
              <w:rPr/>
              <w:t>11</w:t>
            </w:r>
          </w:p>
        </w:tc>
        <w:tc>
          <w:tcPr>
            <w:tcW w:w="79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3,533,733.00</w:t>
            </w:r>
          </w:p>
        </w:tc>
      </w:tr>
      <w:tr>
        <w:trPr/>
        <w:tc>
          <w:tcPr>
            <w:tcW w:w="2264" w:type="dxa"/>
            <w:tcBorders/>
            <w:vAlign w:val="center"/>
          </w:tcPr>
          <w:p>
            <w:pPr>
              <w:pStyle w:val="TableContents"/>
              <w:bidi w:val="0"/>
              <w:spacing w:before="0" w:after="283"/>
              <w:jc w:val="left"/>
              <w:rPr/>
            </w:pPr>
            <w:r>
              <w:rPr/>
              <w:t>12</w:t>
            </w:r>
          </w:p>
        </w:tc>
        <w:tc>
          <w:tcPr>
            <w:tcW w:w="794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64" w:type="dxa"/>
            <w:tcBorders/>
            <w:vAlign w:val="center"/>
          </w:tcPr>
          <w:p>
            <w:pPr>
              <w:pStyle w:val="TableContents"/>
              <w:bidi w:val="0"/>
              <w:spacing w:before="0" w:after="283"/>
              <w:jc w:val="left"/>
              <w:rPr/>
            </w:pPr>
            <w:r>
              <w:rPr/>
              <w:t>13</w:t>
            </w:r>
          </w:p>
        </w:tc>
        <w:tc>
          <w:tcPr>
            <w:tcW w:w="794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64" w:type="dxa"/>
            <w:tcBorders/>
            <w:vAlign w:val="center"/>
          </w:tcPr>
          <w:p>
            <w:pPr>
              <w:pStyle w:val="TableContents"/>
              <w:bidi w:val="0"/>
              <w:spacing w:before="0" w:after="283"/>
              <w:jc w:val="left"/>
              <w:rPr/>
            </w:pPr>
            <w:r>
              <w:rPr/>
              <w:t>14</w:t>
            </w:r>
          </w:p>
        </w:tc>
        <w:tc>
          <w:tcPr>
            <w:tcW w:w="79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Carronade Capital Master,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2,947,370.00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2,947,370.00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2,947,370.00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81"/>
        <w:gridCol w:w="7924"/>
      </w:tblGrid>
      <w:tr>
        <w:trPr/>
        <w:tc>
          <w:tcPr>
            <w:tcW w:w="2281" w:type="dxa"/>
            <w:tcBorders/>
            <w:vAlign w:val="center"/>
          </w:tcPr>
          <w:p>
            <w:pPr>
              <w:pStyle w:val="TableContents"/>
              <w:bidi w:val="0"/>
              <w:spacing w:before="0" w:after="283"/>
              <w:jc w:val="left"/>
              <w:rPr/>
            </w:pPr>
            <w:r>
              <w:rPr/>
              <w:t>1</w:t>
            </w:r>
          </w:p>
        </w:tc>
        <w:tc>
          <w:tcPr>
            <w:tcW w:w="79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CARRONADE CAPITAL GP, LLC</w:t>
            </w:r>
          </w:p>
        </w:tc>
      </w:tr>
      <w:tr>
        <w:trPr/>
        <w:tc>
          <w:tcPr>
            <w:tcW w:w="2281" w:type="dxa"/>
            <w:tcBorders/>
            <w:vAlign w:val="center"/>
          </w:tcPr>
          <w:p>
            <w:pPr>
              <w:pStyle w:val="TableContents"/>
              <w:bidi w:val="0"/>
              <w:spacing w:before="0" w:after="283"/>
              <w:jc w:val="left"/>
              <w:rPr/>
            </w:pPr>
            <w:r>
              <w:rPr/>
              <w:t>2</w:t>
            </w:r>
          </w:p>
        </w:tc>
        <w:tc>
          <w:tcPr>
            <w:tcW w:w="79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81" w:type="dxa"/>
            <w:tcBorders/>
            <w:vAlign w:val="center"/>
          </w:tcPr>
          <w:p>
            <w:pPr>
              <w:pStyle w:val="TableContents"/>
              <w:bidi w:val="0"/>
              <w:spacing w:before="0" w:after="283"/>
              <w:jc w:val="left"/>
              <w:rPr/>
            </w:pPr>
            <w:r>
              <w:rPr/>
              <w:t>3</w:t>
            </w:r>
          </w:p>
        </w:tc>
        <w:tc>
          <w:tcPr>
            <w:tcW w:w="7924" w:type="dxa"/>
            <w:tcBorders/>
            <w:vAlign w:val="center"/>
          </w:tcPr>
          <w:p>
            <w:pPr>
              <w:pStyle w:val="TableContents"/>
              <w:bidi w:val="0"/>
              <w:spacing w:before="0" w:after="283"/>
              <w:jc w:val="left"/>
              <w:rPr/>
            </w:pPr>
            <w:r>
              <w:rPr/>
              <w:t>SEC use only</w:t>
            </w:r>
          </w:p>
        </w:tc>
      </w:tr>
      <w:tr>
        <w:trPr/>
        <w:tc>
          <w:tcPr>
            <w:tcW w:w="2281" w:type="dxa"/>
            <w:tcBorders/>
            <w:vAlign w:val="center"/>
          </w:tcPr>
          <w:p>
            <w:pPr>
              <w:pStyle w:val="TableContents"/>
              <w:bidi w:val="0"/>
              <w:spacing w:before="0" w:after="283"/>
              <w:jc w:val="left"/>
              <w:rPr/>
            </w:pPr>
            <w:r>
              <w:rPr/>
              <w:t>4</w:t>
            </w:r>
          </w:p>
        </w:tc>
        <w:tc>
          <w:tcPr>
            <w:tcW w:w="79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81" w:type="dxa"/>
            <w:tcBorders/>
            <w:vAlign w:val="center"/>
          </w:tcPr>
          <w:p>
            <w:pPr>
              <w:pStyle w:val="TableContents"/>
              <w:bidi w:val="0"/>
              <w:spacing w:before="0" w:after="283"/>
              <w:jc w:val="left"/>
              <w:rPr/>
            </w:pPr>
            <w:r>
              <w:rPr/>
              <w:t>5</w:t>
            </w:r>
          </w:p>
        </w:tc>
        <w:tc>
          <w:tcPr>
            <w:tcW w:w="79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6</w:t>
            </w:r>
          </w:p>
        </w:tc>
        <w:tc>
          <w:tcPr>
            <w:tcW w:w="79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2,947,370.00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2,947,370.00</w:t>
                  </w:r>
                </w:p>
              </w:tc>
            </w:tr>
          </w:tbl>
          <w:p>
            <w:pPr>
              <w:pStyle w:val="TableContents"/>
              <w:bidi w:val="0"/>
              <w:spacing w:before="0" w:after="283"/>
              <w:jc w:val="left"/>
              <w:rPr/>
            </w:pPr>
            <w:r>
              <w:rPr/>
            </w:r>
          </w:p>
        </w:tc>
        <w:tc>
          <w:tcPr>
            <w:tcW w:w="7924"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pPr>
            <w:r>
              <w:rPr/>
              <w:t>11</w:t>
            </w:r>
          </w:p>
        </w:tc>
        <w:tc>
          <w:tcPr>
            <w:tcW w:w="79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2,947,370.00</w:t>
            </w:r>
          </w:p>
        </w:tc>
      </w:tr>
      <w:tr>
        <w:trPr/>
        <w:tc>
          <w:tcPr>
            <w:tcW w:w="2281" w:type="dxa"/>
            <w:tcBorders/>
            <w:vAlign w:val="center"/>
          </w:tcPr>
          <w:p>
            <w:pPr>
              <w:pStyle w:val="TableContents"/>
              <w:bidi w:val="0"/>
              <w:spacing w:before="0" w:after="283"/>
              <w:jc w:val="left"/>
              <w:rPr/>
            </w:pPr>
            <w:r>
              <w:rPr/>
              <w:t>12</w:t>
            </w:r>
          </w:p>
        </w:tc>
        <w:tc>
          <w:tcPr>
            <w:tcW w:w="79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13</w:t>
            </w:r>
          </w:p>
        </w:tc>
        <w:tc>
          <w:tcPr>
            <w:tcW w:w="79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7.3 % </w:t>
            </w:r>
          </w:p>
        </w:tc>
      </w:tr>
      <w:tr>
        <w:trPr/>
        <w:tc>
          <w:tcPr>
            <w:tcW w:w="2281" w:type="dxa"/>
            <w:tcBorders/>
            <w:vAlign w:val="center"/>
          </w:tcPr>
          <w:p>
            <w:pPr>
              <w:pStyle w:val="TableContents"/>
              <w:bidi w:val="0"/>
              <w:spacing w:before="0" w:after="283"/>
              <w:jc w:val="left"/>
              <w:rPr/>
            </w:pPr>
            <w:r>
              <w:rPr/>
              <w:t>14</w:t>
            </w:r>
          </w:p>
        </w:tc>
        <w:tc>
          <w:tcPr>
            <w:tcW w:w="79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68"/>
        <w:gridCol w:w="7937"/>
      </w:tblGrid>
      <w:tr>
        <w:trPr/>
        <w:tc>
          <w:tcPr>
            <w:tcW w:w="2268" w:type="dxa"/>
            <w:tcBorders/>
            <w:vAlign w:val="center"/>
          </w:tcPr>
          <w:p>
            <w:pPr>
              <w:pStyle w:val="TableContents"/>
              <w:bidi w:val="0"/>
              <w:spacing w:before="0" w:after="283"/>
              <w:jc w:val="left"/>
              <w:rPr/>
            </w:pPr>
            <w:r>
              <w:rPr/>
              <w:t>1</w:t>
            </w:r>
          </w:p>
        </w:tc>
        <w:tc>
          <w:tcPr>
            <w:tcW w:w="793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CARRONADE CAPITAL MANAGEMENT GP, LLC</w:t>
            </w:r>
          </w:p>
        </w:tc>
      </w:tr>
      <w:tr>
        <w:trPr/>
        <w:tc>
          <w:tcPr>
            <w:tcW w:w="2268" w:type="dxa"/>
            <w:tcBorders/>
            <w:vAlign w:val="center"/>
          </w:tcPr>
          <w:p>
            <w:pPr>
              <w:pStyle w:val="TableContents"/>
              <w:bidi w:val="0"/>
              <w:spacing w:before="0" w:after="283"/>
              <w:jc w:val="left"/>
              <w:rPr/>
            </w:pPr>
            <w:r>
              <w:rPr/>
              <w:t>2</w:t>
            </w:r>
          </w:p>
        </w:tc>
        <w:tc>
          <w:tcPr>
            <w:tcW w:w="79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68" w:type="dxa"/>
            <w:tcBorders/>
            <w:vAlign w:val="center"/>
          </w:tcPr>
          <w:p>
            <w:pPr>
              <w:pStyle w:val="TableContents"/>
              <w:bidi w:val="0"/>
              <w:spacing w:before="0" w:after="283"/>
              <w:jc w:val="left"/>
              <w:rPr/>
            </w:pPr>
            <w:r>
              <w:rPr/>
              <w:t>3</w:t>
            </w:r>
          </w:p>
        </w:tc>
        <w:tc>
          <w:tcPr>
            <w:tcW w:w="7937" w:type="dxa"/>
            <w:tcBorders/>
            <w:vAlign w:val="center"/>
          </w:tcPr>
          <w:p>
            <w:pPr>
              <w:pStyle w:val="TableContents"/>
              <w:bidi w:val="0"/>
              <w:spacing w:before="0" w:after="283"/>
              <w:jc w:val="left"/>
              <w:rPr/>
            </w:pPr>
            <w:r>
              <w:rPr/>
              <w:t>SEC use only</w:t>
            </w:r>
          </w:p>
        </w:tc>
      </w:tr>
      <w:tr>
        <w:trPr/>
        <w:tc>
          <w:tcPr>
            <w:tcW w:w="2268" w:type="dxa"/>
            <w:tcBorders/>
            <w:vAlign w:val="center"/>
          </w:tcPr>
          <w:p>
            <w:pPr>
              <w:pStyle w:val="TableContents"/>
              <w:bidi w:val="0"/>
              <w:spacing w:before="0" w:after="283"/>
              <w:jc w:val="left"/>
              <w:rPr/>
            </w:pPr>
            <w:r>
              <w:rPr/>
              <w:t>4</w:t>
            </w:r>
          </w:p>
        </w:tc>
        <w:tc>
          <w:tcPr>
            <w:tcW w:w="793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68" w:type="dxa"/>
            <w:tcBorders/>
            <w:vAlign w:val="center"/>
          </w:tcPr>
          <w:p>
            <w:pPr>
              <w:pStyle w:val="TableContents"/>
              <w:bidi w:val="0"/>
              <w:spacing w:before="0" w:after="283"/>
              <w:jc w:val="left"/>
              <w:rPr/>
            </w:pPr>
            <w:r>
              <w:rPr/>
              <w:t>5</w:t>
            </w:r>
          </w:p>
        </w:tc>
        <w:tc>
          <w:tcPr>
            <w:tcW w:w="793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6</w:t>
            </w:r>
          </w:p>
        </w:tc>
        <w:tc>
          <w:tcPr>
            <w:tcW w:w="79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3,533,733.00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3,533,733.00</w:t>
                  </w:r>
                </w:p>
              </w:tc>
            </w:tr>
          </w:tbl>
          <w:p>
            <w:pPr>
              <w:pStyle w:val="TableContents"/>
              <w:bidi w:val="0"/>
              <w:spacing w:before="0" w:after="283"/>
              <w:jc w:val="left"/>
              <w:rPr/>
            </w:pPr>
            <w:r>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11</w:t>
            </w:r>
          </w:p>
        </w:tc>
        <w:tc>
          <w:tcPr>
            <w:tcW w:w="79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3,533,733.00</w:t>
            </w:r>
          </w:p>
        </w:tc>
      </w:tr>
      <w:tr>
        <w:trPr/>
        <w:tc>
          <w:tcPr>
            <w:tcW w:w="2268" w:type="dxa"/>
            <w:tcBorders/>
            <w:vAlign w:val="center"/>
          </w:tcPr>
          <w:p>
            <w:pPr>
              <w:pStyle w:val="TableContents"/>
              <w:bidi w:val="0"/>
              <w:spacing w:before="0" w:after="283"/>
              <w:jc w:val="left"/>
              <w:rPr/>
            </w:pPr>
            <w:r>
              <w:rPr/>
              <w:t>12</w:t>
            </w:r>
          </w:p>
        </w:tc>
        <w:tc>
          <w:tcPr>
            <w:tcW w:w="793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13</w:t>
            </w:r>
          </w:p>
        </w:tc>
        <w:tc>
          <w:tcPr>
            <w:tcW w:w="793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68" w:type="dxa"/>
            <w:tcBorders/>
            <w:vAlign w:val="center"/>
          </w:tcPr>
          <w:p>
            <w:pPr>
              <w:pStyle w:val="TableContents"/>
              <w:bidi w:val="0"/>
              <w:spacing w:before="0" w:after="283"/>
              <w:jc w:val="left"/>
              <w:rPr/>
            </w:pPr>
            <w:r>
              <w:rPr/>
              <w:t>14</w:t>
            </w:r>
          </w:p>
        </w:tc>
        <w:tc>
          <w:tcPr>
            <w:tcW w:w="79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GROPPER DAN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3,533,733.00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3,533,733.00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3,533,733.00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Cannae Holdings,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CANNAE HOLDINGS, INC., 1701 VILLAGE CENTER CIRCLE, LAS VEGAS, NEVADA , 89134.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4 to the Schedule 13D filed by the undersigned ("Amendment No. 4"). This Amendment No. 4 amends the Schedule 13D as specifically set forth herein. Unless otherwise defined herein, all capitalized terms used herein shall have the meanings given to them in the Schedule 13D.</w:t>
            </w:r>
          </w:p>
        </w:tc>
      </w:tr>
      <w:tr>
        <w:trPr/>
        <w:tc>
          <w:tcPr>
            <w:tcW w:w="1171" w:type="dxa"/>
            <w:tcBorders/>
            <w:vAlign w:val="center"/>
          </w:tcPr>
          <w:p>
            <w:pPr>
              <w:pStyle w:val="TableContents"/>
              <w:bidi w:val="0"/>
              <w:spacing w:before="0" w:after="283"/>
              <w:jc w:val="left"/>
              <w:rPr/>
            </w:pPr>
            <w:r>
              <w:rPr/>
              <w:t>Item 3.</w:t>
            </w:r>
          </w:p>
        </w:tc>
        <w:tc>
          <w:tcPr>
            <w:tcW w:w="887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Item 3 is hereby amended and restated to read as follows: The Shares purchased by Carronade and held in certain accounts managed by Carronade Capital Management (the "Managed Accounts") were purchased with working capital (which may, at any given time, include margin loans made by brokerage firms in the ordinary course of business). The aggregate purchase price of the 2,947,370 Shares beneficially owned by Carronade is approximately $53,983,128, excluding brokerage commissions. The aggregate purchase price of the 586,363 Shares held in the Managed Accounts is approximately $9,094,490, excluding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Item 5(a) is hereby amended and restated to read as follows: The percentages used in this Schedule 13D are based upon 40,300,000 Shares outstanding, as of September 30, 2026, as reported by the Issuer in its Sum of the Parts report, dated September 30, 2026, which was posted on the Issuer's website. As of the date hereof, Carronade beneficially owns directly 2,947,370 Shares, representing approximately 7.3% of the outstanding Shares. Carronade Capital GP, as the general partner of Carronade, may be deemed the beneficial owner of the 2,947,370 shares of Common Stock owned directly by Carronade, representing approximately 7.3% of the outstanding Shares. As of the date hereof, 586,363 Shares were held in the Managed Accounts, representing approximately 1.4% of the outstanding Shares. Carronade Capital Management, as the investment manager of each of Carronade and the Managed Accounts, may be deemed the beneficial owner of the (i) 2,947,370 Shares beneficially owned directly by Carronade and (ii) 586,363 Shares held in the Managed Accounts, representing approximately 8.8% of the outstanding Shares. Carronade Capital Management GP, as the general partner of Carronade Capital Management, may be deemed the beneficial owner of the (i) 2,947,370 Shares beneficially owned directly by Carronade and (ii) 586,363 Shares held in the Managed Accounts, representing approximately 8.8% of the outstanding Shares. Mr. Gropper, as the Managing Member of Carronade Capital Management GP, may be deemed the beneficial owner of the (i) 2,947,370 Shares beneficially owned directly by Carronade and (ii) 586,363 Shares held in the Managed Accounts, representing approximately 8.8% of the outstanding Shares. The filing of this Amendment No. 4 shall not be deemed an admission that the Reporting Persons are, for purposes of Section 13(d) of the Securities Exchange Act of 1934, as amended, the beneficial owners of any securities of the Issuer that he, she or it does not directly own. Each of the Reporting Persons specifically disclaims beneficial ownership of the securities reported herein that he, she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0"/>
              <w:jc w:val="left"/>
              <w:rPr/>
            </w:pPr>
            <w:r>
              <w:rPr/>
              <w:t>Item 5(c) is hereby amended to add the following: Information concerning transactions in the securities of the Issuer effected by the Reporting Persons since the filing of Amendment No. 3 to the Schedule 13D is set forth in Exhibit 1 attached hereto and is incorporated herein by reference. All of the transactions in the securities of the Issuer listed therein were effected in the open market through various brokerage entities.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Item 7 is hereby amended to add the following exhibit: 1 - Transactions in Securities.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23"/>
        <w:gridCol w:w="5082"/>
      </w:tblGrid>
      <w:tr>
        <w:trPr/>
        <w:tc>
          <w:tcPr>
            <w:tcW w:w="5123" w:type="dxa"/>
            <w:tcBorders/>
            <w:vAlign w:val="center"/>
          </w:tcPr>
          <w:p>
            <w:pPr>
              <w:pStyle w:val="TableContents"/>
              <w:bidi w:val="0"/>
              <w:spacing w:before="0" w:after="0"/>
              <w:jc w:val="left"/>
              <w:rPr/>
            </w:pPr>
            <w:r>
              <w:rPr/>
              <w:t> </w:t>
            </w:r>
          </w:p>
          <w:tbl>
            <w:tblPr>
              <w:tblW w:w="5041" w:type="dxa"/>
              <w:jc w:val="left"/>
              <w:tblInd w:w="0" w:type="dxa"/>
              <w:tblLayout w:type="fixed"/>
              <w:tblCellMar>
                <w:top w:w="28" w:type="dxa"/>
                <w:left w:w="28" w:type="dxa"/>
                <w:bottom w:w="28" w:type="dxa"/>
                <w:right w:w="28" w:type="dxa"/>
              </w:tblCellMar>
            </w:tblPr>
            <w:tblGrid>
              <w:gridCol w:w="5041"/>
            </w:tblGrid>
            <w:tr>
              <w:trPr/>
              <w:tc>
                <w:tcPr>
                  <w:tcW w:w="5041" w:type="dxa"/>
                  <w:tcBorders/>
                  <w:vAlign w:val="center"/>
                </w:tcPr>
                <w:p>
                  <w:pPr>
                    <w:pStyle w:val="TableContents"/>
                    <w:bidi w:val="0"/>
                    <w:spacing w:before="0" w:after="0"/>
                    <w:jc w:val="left"/>
                    <w:rPr/>
                  </w:pPr>
                  <w:r>
                    <w:rPr/>
                    <w:t>CARRONADE CAPITAL MANAGEMENT, LP</w:t>
                  </w:r>
                </w:p>
              </w:tc>
            </w:tr>
          </w:tbl>
          <w:p>
            <w:pPr>
              <w:pStyle w:val="TableContents"/>
              <w:bidi w:val="0"/>
              <w:spacing w:before="0" w:after="283"/>
              <w:jc w:val="left"/>
              <w:rPr/>
            </w:pPr>
            <w:r>
              <w:rPr/>
            </w:r>
          </w:p>
        </w:tc>
        <w:tc>
          <w:tcPr>
            <w:tcW w:w="50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Rinarisa Coronel DeFronze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Rinarisa Coronel DeFronze, Chief Compliance Officer &amp; Counsel</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Carronade Capital Master,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Rinarisa Coronel DeFronze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Rinarisa Coronel DeFronze,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CARRONADE CAPITAL GP,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Rinarisa Coronel DeFronze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Rinarisa Coronel DeFronze,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1"/>
        <w:gridCol w:w="4974"/>
      </w:tblGrid>
      <w:tr>
        <w:trPr/>
        <w:tc>
          <w:tcPr>
            <w:tcW w:w="5231" w:type="dxa"/>
            <w:tcBorders/>
            <w:vAlign w:val="center"/>
          </w:tcPr>
          <w:p>
            <w:pPr>
              <w:pStyle w:val="TableContents"/>
              <w:bidi w:val="0"/>
              <w:spacing w:before="0" w:after="0"/>
              <w:jc w:val="left"/>
              <w:rPr/>
            </w:pPr>
            <w:r>
              <w:rPr/>
              <w:t> </w:t>
            </w:r>
          </w:p>
          <w:tbl>
            <w:tblPr>
              <w:tblW w:w="5596" w:type="dxa"/>
              <w:jc w:val="left"/>
              <w:tblInd w:w="0" w:type="dxa"/>
              <w:tblLayout w:type="fixed"/>
              <w:tblCellMar>
                <w:top w:w="28" w:type="dxa"/>
                <w:left w:w="28" w:type="dxa"/>
                <w:bottom w:w="28" w:type="dxa"/>
                <w:right w:w="28" w:type="dxa"/>
              </w:tblCellMar>
            </w:tblPr>
            <w:tblGrid>
              <w:gridCol w:w="5596"/>
            </w:tblGrid>
            <w:tr>
              <w:trPr/>
              <w:tc>
                <w:tcPr>
                  <w:tcW w:w="5596" w:type="dxa"/>
                  <w:tcBorders/>
                  <w:vAlign w:val="center"/>
                </w:tcPr>
                <w:p>
                  <w:pPr>
                    <w:pStyle w:val="TableContents"/>
                    <w:bidi w:val="0"/>
                    <w:spacing w:before="0" w:after="0"/>
                    <w:jc w:val="left"/>
                    <w:rPr/>
                  </w:pPr>
                  <w:r>
                    <w:rPr/>
                    <w:t>CARRONADE CAPITAL MANAGEMENT GP, LLC</w:t>
                  </w:r>
                </w:p>
              </w:tc>
            </w:tr>
          </w:tbl>
          <w:p>
            <w:pPr>
              <w:pStyle w:val="TableContents"/>
              <w:bidi w:val="0"/>
              <w:spacing w:before="0" w:after="283"/>
              <w:jc w:val="left"/>
              <w:rPr/>
            </w:pPr>
            <w:r>
              <w:rPr/>
            </w:r>
          </w:p>
        </w:tc>
        <w:tc>
          <w:tcPr>
            <w:tcW w:w="49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Rinarisa Coronel DeFronze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Rinarisa Coronel DeFronze,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GROPPER DAN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Dan Gropper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0" w:name="ex113da414229002_10052026.htm"/>
      <w:bookmarkStart w:id="31" w:name="ksex113da414229002_10052026"/>
      <w:bookmarkEnd w:id="30"/>
      <w:bookmarkEnd w:id="31"/>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Shares Since the Filing of Amendment No. 3 to the Schedule 13D</w:t>
      </w:r>
    </w:p>
    <w:tbl>
      <w:tblPr>
        <w:tblW w:w="5210" w:type="dxa"/>
        <w:jc w:val="left"/>
        <w:tblInd w:w="0" w:type="dxa"/>
        <w:tblLayout w:type="fixed"/>
        <w:tblCellMar>
          <w:top w:w="0" w:type="dxa"/>
          <w:left w:w="0" w:type="dxa"/>
          <w:bottom w:w="0" w:type="dxa"/>
          <w:right w:w="0" w:type="dxa"/>
        </w:tblCellMar>
      </w:tblPr>
      <w:tblGrid>
        <w:gridCol w:w="995"/>
        <w:gridCol w:w="1730"/>
        <w:gridCol w:w="1490"/>
        <w:gridCol w:w="995"/>
      </w:tblGrid>
      <w:tr>
        <w:trPr/>
        <w:tc>
          <w:tcPr>
            <w:tcW w:w="99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 / (Sold)</w:t>
            </w:r>
          </w:p>
        </w:tc>
        <w:tc>
          <w:tcPr>
            <w:tcW w:w="1490" w:type="dxa"/>
            <w:tcBorders/>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per Share ($)</w:t>
            </w:r>
          </w:p>
        </w:tc>
        <w:tc>
          <w:tcPr>
            <w:tcW w:w="99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w:t>
            </w:r>
          </w:p>
        </w:tc>
      </w:tr>
    </w:tbl>
    <w:p>
      <w:pPr>
        <w:pStyle w:val="TextBody"/>
        <w:bidi w:val="0"/>
        <w:spacing w:before="240" w:after="240"/>
        <w:ind w:left="240" w:right="24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CARRONADE CAPITAL MANAGEMENT, LP</w:t>
        <w:br/>
        <w:t>(Through the Managed Accounts)</w:t>
      </w:r>
    </w:p>
    <w:tbl>
      <w:tblPr>
        <w:tblW w:w="4550" w:type="dxa"/>
        <w:jc w:val="left"/>
        <w:tblInd w:w="0" w:type="dxa"/>
        <w:tblLayout w:type="fixed"/>
        <w:tblCellMar>
          <w:top w:w="0" w:type="dxa"/>
          <w:left w:w="0" w:type="dxa"/>
          <w:bottom w:w="0" w:type="dxa"/>
          <w:right w:w="0" w:type="dxa"/>
        </w:tblCellMar>
      </w:tblPr>
      <w:tblGrid>
        <w:gridCol w:w="2270"/>
        <w:gridCol w:w="590"/>
        <w:gridCol w:w="695"/>
        <w:gridCol w:w="995"/>
      </w:tblGrid>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Common Stock</w:t>
            </w:r>
          </w:p>
        </w:tc>
        <w:tc>
          <w:tcPr>
            <w:tcW w:w="5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41,073</w:t>
            </w:r>
          </w:p>
        </w:tc>
        <w:tc>
          <w:tcPr>
            <w:tcW w:w="6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14.6575</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08/10/2026</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Common Stock</w:t>
            </w:r>
          </w:p>
        </w:tc>
        <w:tc>
          <w:tcPr>
            <w:tcW w:w="5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96,695</w:t>
            </w:r>
          </w:p>
        </w:tc>
        <w:tc>
          <w:tcPr>
            <w:tcW w:w="6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14.8610</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08/11/2026</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1667</Words>
  <Characters>8922</Characters>
  <CharactersWithSpaces>10446</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