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July 15,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CANNAE HOLDINGS,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1-38300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bl>
      <w:tblPr>
        <w:tblW w:w="6191" w:type="dxa"/>
        <w:jc w:val="center"/>
        <w:tblInd w:w="0" w:type="dxa"/>
        <w:tblLayout w:type="fixed"/>
        <w:tblCellMar>
          <w:top w:w="28" w:type="dxa"/>
          <w:left w:w="28" w:type="dxa"/>
          <w:bottom w:w="28" w:type="dxa"/>
          <w:right w:w="28" w:type="dxa"/>
        </w:tblCellMar>
      </w:tblPr>
      <w:tblGrid>
        <w:gridCol w:w="943"/>
        <w:gridCol w:w="831"/>
        <w:gridCol w:w="835"/>
        <w:gridCol w:w="109"/>
        <w:gridCol w:w="109"/>
        <w:gridCol w:w="109"/>
        <w:gridCol w:w="950"/>
        <w:gridCol w:w="950"/>
        <w:gridCol w:w="1355"/>
      </w:tblGrid>
      <w:tr>
        <w:trPr/>
        <w:tc>
          <w:tcPr>
            <w:tcW w:w="9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82-1273460</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1701 Village Center Circle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Las Vegas, Nevada 89134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(Addresses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(702) 323-7330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052" w:type="dxa"/>
        <w:jc w:val="center"/>
        <w:tblInd w:w="0" w:type="dxa"/>
        <w:tblLayout w:type="fixed"/>
        <w:tblCellMar>
          <w:top w:w="28" w:type="dxa"/>
          <w:left w:w="28" w:type="dxa"/>
          <w:bottom w:w="28" w:type="dxa"/>
          <w:right w:w="28" w:type="dxa"/>
        </w:tblCellMar>
      </w:tblPr>
      <w:tblGrid>
        <w:gridCol w:w="1347"/>
        <w:gridCol w:w="1178"/>
        <w:gridCol w:w="1194"/>
        <w:gridCol w:w="109"/>
        <w:gridCol w:w="109"/>
        <w:gridCol w:w="109"/>
        <w:gridCol w:w="419"/>
        <w:gridCol w:w="419"/>
        <w:gridCol w:w="421"/>
        <w:gridCol w:w="109"/>
        <w:gridCol w:w="109"/>
        <w:gridCol w:w="109"/>
        <w:gridCol w:w="1002"/>
        <w:gridCol w:w="1002"/>
        <w:gridCol w:w="1416"/>
      </w:tblGrid>
      <w:tr>
        <w:trPr/>
        <w:tc>
          <w:tcPr>
            <w:tcW w:w="134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Cannae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CNNE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0" w:after="100"/>
        <w:jc w:val="left"/>
        <w:rPr/>
      </w:pPr>
      <w:r>
        <w:rPr>
          <w:rFonts w:ascii="Times New Roman;serif" w:hAnsi="Times New Roman;serif"/>
          <w:b w:val="false"/>
          <w:color w:val="000000"/>
          <w:sz w:val="20"/>
        </w:rPr>
        <w:t>Emerging growth company</w:t>
      </w:r>
      <w:r>
        <w:rPr>
          <w:color w:val="000000"/>
        </w:rPr>
        <w:t xml:space="preserve"> ☐ </w:t>
      </w:r>
    </w:p>
    <w:p>
      <w:pPr>
        <w:pStyle w:val="TextBody"/>
        <w:bidi w:val="0"/>
        <w:spacing w:lineRule="auto" w:line="288" w:before="100" w:after="10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4"/>
        <w:gridCol w:w="249"/>
        <w:gridCol w:w="252"/>
        <w:gridCol w:w="109"/>
        <w:gridCol w:w="109"/>
        <w:gridCol w:w="109"/>
        <w:gridCol w:w="2662"/>
        <w:gridCol w:w="2662"/>
        <w:gridCol w:w="3769"/>
      </w:tblGrid>
      <w:tr>
        <w:trPr/>
        <w:tc>
          <w:tcPr>
            <w:tcW w:w="28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15, 2026, Cannae Holdings, Inc. ("Cannae" or the "Company") closed on the previously announced sale of its interest in Brasada Ranch to a company owned by William P. Foley, II ("Mr. Foley"). In connection therewith, the Company entered into a letter agreement (the "Letter Agreement") with Mr. Foley dated July 15, 2026 that amends that certain Director Services Agreement by and between the Company and Mr. Foley dated May 12, 2025 (the "DSA") to delete in its entirety Section 11(a) of the DSA, which permitted Mr. Foley to sell 50% of his shares of common stock of the Company back to Cannae for certain defined prices therein.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 of the Letter Agreement does not purport to be complete and is qualified in its entirety by reference to the complete text of the Letter Agreement, which is attached as exhibit 10.1 to this Current Report on Form 8-K and is incorporated herein by reference. </w:t>
      </w:r>
    </w:p>
    <w:p>
      <w:pPr>
        <w:pStyle w:val="TextBody"/>
        <w:bidi w:val="0"/>
        <w:spacing w:before="0" w:after="0"/>
        <w:jc w:val="both"/>
        <w:rPr/>
      </w:pPr>
      <w:r>
        <w:rPr/>
      </w:r>
    </w:p>
    <w:tbl>
      <w:tblPr>
        <w:tblW w:w="4318"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55"/>
        <w:gridCol w:w="256"/>
        <w:gridCol w:w="109"/>
        <w:gridCol w:w="109"/>
        <w:gridCol w:w="109"/>
        <w:gridCol w:w="109"/>
        <w:gridCol w:w="109"/>
        <w:gridCol w:w="109"/>
        <w:gridCol w:w="109"/>
        <w:gridCol w:w="2510"/>
        <w:gridCol w:w="2510"/>
        <w:gridCol w:w="35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3569" w:type="dxa"/>
            <w:tcBorders/>
            <w:vAlign w:val="center"/>
          </w:tcPr>
          <w:p>
            <w:pPr>
              <w:pStyle w:val="TableContents"/>
              <w:bidi w:val="0"/>
              <w:spacing w:before="0" w:after="283"/>
              <w:jc w:val="left"/>
              <w:rPr>
                <w:sz w:val="4"/>
                <w:szCs w:val="4"/>
              </w:rPr>
            </w:pPr>
            <w:r>
              <w:rPr>
                <w:sz w:val="4"/>
                <w:szCs w:val="4"/>
              </w:rPr>
            </w:r>
          </w:p>
        </w:tc>
      </w:tr>
      <w:tr>
        <w:trPr/>
        <w:tc>
          <w:tcPr>
            <w:tcW w:w="1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hibit101letteragreement.htm">
              <w:r>
                <w:rPr>
                  <w:rStyle w:val="InternetLink"/>
                  <w:rFonts w:ascii="Times New Roman;serif" w:hAnsi="Times New Roman;serif"/>
                  <w:b w:val="false"/>
                  <w:color w:val="0000FF"/>
                  <w:sz w:val="20"/>
                  <w:u w:val="single"/>
                </w:rPr>
                <w:t>Letter Agreement</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586"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218"/>
        <w:gridCol w:w="218"/>
        <w:gridCol w:w="218"/>
        <w:gridCol w:w="275"/>
        <w:gridCol w:w="275"/>
        <w:gridCol w:w="275"/>
        <w:gridCol w:w="655"/>
        <w:gridCol w:w="655"/>
        <w:gridCol w:w="655"/>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4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Cannae Holdings, Inc.</w:t>
            </w:r>
          </w:p>
          <w:p>
            <w:pPr>
              <w:pStyle w:val="TableContents"/>
              <w:bidi w:val="0"/>
              <w:spacing w:lineRule="auto" w:line="240" w:before="0" w:after="0"/>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16, 2026</w:t>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7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Brett A. Correia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1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Brett A. Correia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Cannae Holdings, Inc.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1701 Village Center Circle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Las Vegas, NV 89134</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July 15,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Dear Bill: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On July 1, 2026, Cannae Holdings, Inc. (“Cannae”) issued a press release announcing that it has entered into an agreement with a company owned by you (“Foley”) to sell Cannae’s 87% interest in Brasada Ranch in exchange for the termination of Foley’s put right (the “Transaction”).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a closing condition of the Transaction, the Director Services Agreement dated May 12, 2025 between Cannae and Foley (the “Director Services Agreement”) shall be amended to terminate Foley’s put right.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On July 15, 2026, the Transaction closed. This letter agreement amends the Director Services Agreement.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signing below the Company and Foley agree that the following Section 11(a) of the Director Services Agreement is deleted in its entirety:</w:t>
      </w:r>
    </w:p>
    <w:p>
      <w:pPr>
        <w:pStyle w:val="TextBody"/>
        <w:bidi w:val="0"/>
        <w:spacing w:before="0" w:after="0"/>
        <w:jc w:val="left"/>
        <w:rPr/>
      </w:pPr>
      <w:r>
        <w:rPr/>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(a)Beginning in January 2026, and upon written notice (the “Notice Date”) by Foley designating a closing date, which shall be at least thirty days after the Notice Date, the Company shall purchase from Foley, and Foley agrees to sell, assign and transfer to the Company, all right, title and interest in and to fifty percent (50%) of the shares of Common Stock of the Company (the “Common Stock”) owned by Foley at the greater price per Common Stock of $19.50 per share, or 20% greater than the Company’s closing stock price on the Designation Date.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Thank you.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CANNAE HOLDINGS, INC.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Michael L. Gravelle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Michael L. Gravelle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 General Counsel and Corporate Secretary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William P. Foley, II    </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William P. Foley, II</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821</Words>
  <Characters>4347</Characters>
  <CharactersWithSpaces>5143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