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Cannae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DAN GROPPER</w:t>
              <w:br/>
              <w:t>CARRONADE CAPITAL MANAGEMENT, LP, 17 Old Kings Highway South, Suite 140</w:t>
              <w:br/>
              <w:t>Darien, CT, 06820</w:t>
              <w:br/>
              <w:t>203-485-0880</w:t>
            </w:r>
          </w:p>
          <w:p>
            <w:pPr>
              <w:pStyle w:val="TableContents"/>
              <w:bidi w:val="0"/>
              <w:jc w:val="left"/>
              <w:rPr/>
            </w:pPr>
            <w:r>
              <w:rPr/>
            </w:r>
          </w:p>
          <w:p>
            <w:pPr>
              <w:pStyle w:val="TableContents"/>
              <w:bidi w:val="0"/>
              <w:spacing w:before="0" w:after="0"/>
              <w:jc w:val="center"/>
              <w:rPr>
                <w:b/>
                <w:color w:val="0000FF"/>
              </w:rPr>
            </w:pPr>
            <w:r>
              <w:rPr>
                <w:b/>
                <w:color w:val="0000FF"/>
              </w:rPr>
              <w:t>MEAGAN REDA,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1</w:t>
            </w:r>
          </w:p>
        </w:tc>
        <w:tc>
          <w:tcPr>
            <w:tcW w:w="794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MANAGEMENT, LP</w:t>
            </w:r>
          </w:p>
        </w:tc>
      </w:tr>
      <w:tr>
        <w:trPr/>
        <w:tc>
          <w:tcPr>
            <w:tcW w:w="2264" w:type="dxa"/>
            <w:tcBorders/>
            <w:vAlign w:val="center"/>
          </w:tcPr>
          <w:p>
            <w:pPr>
              <w:pStyle w:val="TableContents"/>
              <w:bidi w:val="0"/>
              <w:spacing w:before="0" w:after="283"/>
              <w:jc w:val="left"/>
              <w:rPr/>
            </w:pPr>
            <w:r>
              <w:rPr/>
              <w:t>2</w:t>
            </w:r>
          </w:p>
        </w:tc>
        <w:tc>
          <w:tcPr>
            <w:tcW w:w="79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64" w:type="dxa"/>
            <w:tcBorders/>
            <w:vAlign w:val="center"/>
          </w:tcPr>
          <w:p>
            <w:pPr>
              <w:pStyle w:val="TableContents"/>
              <w:bidi w:val="0"/>
              <w:spacing w:before="0" w:after="283"/>
              <w:jc w:val="left"/>
              <w:rPr/>
            </w:pPr>
            <w:r>
              <w:rPr/>
              <w:t>3</w:t>
            </w:r>
          </w:p>
        </w:tc>
        <w:tc>
          <w:tcPr>
            <w:tcW w:w="7941" w:type="dxa"/>
            <w:tcBorders/>
            <w:vAlign w:val="center"/>
          </w:tcPr>
          <w:p>
            <w:pPr>
              <w:pStyle w:val="TableContents"/>
              <w:bidi w:val="0"/>
              <w:spacing w:before="0" w:after="283"/>
              <w:jc w:val="left"/>
              <w:rPr/>
            </w:pPr>
            <w:r>
              <w:rPr/>
              <w:t>SEC use only</w:t>
            </w:r>
          </w:p>
        </w:tc>
      </w:tr>
      <w:tr>
        <w:trPr/>
        <w:tc>
          <w:tcPr>
            <w:tcW w:w="2264" w:type="dxa"/>
            <w:tcBorders/>
            <w:vAlign w:val="center"/>
          </w:tcPr>
          <w:p>
            <w:pPr>
              <w:pStyle w:val="TableContents"/>
              <w:bidi w:val="0"/>
              <w:spacing w:before="0" w:after="283"/>
              <w:jc w:val="left"/>
              <w:rPr/>
            </w:pPr>
            <w:r>
              <w:rPr/>
              <w:t>4</w:t>
            </w:r>
          </w:p>
        </w:tc>
        <w:tc>
          <w:tcPr>
            <w:tcW w:w="794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4" w:type="dxa"/>
            <w:tcBorders/>
            <w:vAlign w:val="center"/>
          </w:tcPr>
          <w:p>
            <w:pPr>
              <w:pStyle w:val="TableContents"/>
              <w:bidi w:val="0"/>
              <w:spacing w:before="0" w:after="283"/>
              <w:jc w:val="left"/>
              <w:rPr/>
            </w:pPr>
            <w:r>
              <w:rPr/>
              <w:t>5</w:t>
            </w:r>
          </w:p>
        </w:tc>
        <w:tc>
          <w:tcPr>
            <w:tcW w:w="794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64" w:type="dxa"/>
            <w:tcBorders/>
            <w:vAlign w:val="center"/>
          </w:tcPr>
          <w:p>
            <w:pPr>
              <w:pStyle w:val="TableContents"/>
              <w:bidi w:val="0"/>
              <w:spacing w:before="0" w:after="283"/>
              <w:jc w:val="left"/>
              <w:rPr/>
            </w:pPr>
            <w:r>
              <w:rPr/>
              <w:t>6</w:t>
            </w:r>
          </w:p>
        </w:tc>
        <w:tc>
          <w:tcPr>
            <w:tcW w:w="79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3,395,965.00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3,395,965.00</w:t>
                  </w:r>
                </w:p>
              </w:tc>
            </w:tr>
          </w:tbl>
          <w:p>
            <w:pPr>
              <w:pStyle w:val="TableContents"/>
              <w:bidi w:val="0"/>
              <w:spacing w:before="0" w:after="283"/>
              <w:jc w:val="left"/>
              <w:rPr/>
            </w:pPr>
            <w:r>
              <w:rPr/>
            </w:r>
          </w:p>
        </w:tc>
        <w:tc>
          <w:tcPr>
            <w:tcW w:w="7941" w:type="dxa"/>
            <w:tcBorders/>
            <w:vAlign w:val="center"/>
          </w:tcPr>
          <w:p>
            <w:pPr>
              <w:pStyle w:val="TableContents"/>
              <w:bidi w:val="0"/>
              <w:spacing w:before="0" w:after="283"/>
              <w:jc w:val="left"/>
              <w:rPr>
                <w:sz w:val="4"/>
                <w:szCs w:val="4"/>
              </w:rPr>
            </w:pPr>
            <w:r>
              <w:rPr>
                <w:sz w:val="4"/>
                <w:szCs w:val="4"/>
              </w:rPr>
            </w:r>
          </w:p>
        </w:tc>
      </w:tr>
      <w:tr>
        <w:trPr/>
        <w:tc>
          <w:tcPr>
            <w:tcW w:w="2264" w:type="dxa"/>
            <w:tcBorders/>
            <w:vAlign w:val="center"/>
          </w:tcPr>
          <w:p>
            <w:pPr>
              <w:pStyle w:val="TableContents"/>
              <w:bidi w:val="0"/>
              <w:spacing w:before="0" w:after="283"/>
              <w:jc w:val="left"/>
              <w:rPr/>
            </w:pPr>
            <w:r>
              <w:rPr/>
              <w:t>11</w:t>
            </w:r>
          </w:p>
        </w:tc>
        <w:tc>
          <w:tcPr>
            <w:tcW w:w="79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3,395,965.00</w:t>
            </w:r>
          </w:p>
        </w:tc>
      </w:tr>
      <w:tr>
        <w:trPr/>
        <w:tc>
          <w:tcPr>
            <w:tcW w:w="2264" w:type="dxa"/>
            <w:tcBorders/>
            <w:vAlign w:val="center"/>
          </w:tcPr>
          <w:p>
            <w:pPr>
              <w:pStyle w:val="TableContents"/>
              <w:bidi w:val="0"/>
              <w:spacing w:before="0" w:after="283"/>
              <w:jc w:val="left"/>
              <w:rPr/>
            </w:pPr>
            <w:r>
              <w:rPr/>
              <w:t>12</w:t>
            </w:r>
          </w:p>
        </w:tc>
        <w:tc>
          <w:tcPr>
            <w:tcW w:w="794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64" w:type="dxa"/>
            <w:tcBorders/>
            <w:vAlign w:val="center"/>
          </w:tcPr>
          <w:p>
            <w:pPr>
              <w:pStyle w:val="TableContents"/>
              <w:bidi w:val="0"/>
              <w:spacing w:before="0" w:after="283"/>
              <w:jc w:val="left"/>
              <w:rPr/>
            </w:pPr>
            <w:r>
              <w:rPr/>
              <w:t>13</w:t>
            </w:r>
          </w:p>
        </w:tc>
        <w:tc>
          <w:tcPr>
            <w:tcW w:w="794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7.8 % </w:t>
            </w:r>
          </w:p>
        </w:tc>
      </w:tr>
      <w:tr>
        <w:trPr/>
        <w:tc>
          <w:tcPr>
            <w:tcW w:w="2264" w:type="dxa"/>
            <w:tcBorders/>
            <w:vAlign w:val="center"/>
          </w:tcPr>
          <w:p>
            <w:pPr>
              <w:pStyle w:val="TableContents"/>
              <w:bidi w:val="0"/>
              <w:spacing w:before="0" w:after="283"/>
              <w:jc w:val="left"/>
              <w:rPr/>
            </w:pPr>
            <w:r>
              <w:rPr/>
              <w:t>14</w:t>
            </w:r>
          </w:p>
        </w:tc>
        <w:tc>
          <w:tcPr>
            <w:tcW w:w="79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Master,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2,947,370.00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2,947,370.00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2,947,370.00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1</w:t>
            </w:r>
          </w:p>
        </w:tc>
        <w:tc>
          <w:tcPr>
            <w:tcW w:w="79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GP, LLC</w:t>
            </w:r>
          </w:p>
        </w:tc>
      </w:tr>
      <w:tr>
        <w:trPr/>
        <w:tc>
          <w:tcPr>
            <w:tcW w:w="2281" w:type="dxa"/>
            <w:tcBorders/>
            <w:vAlign w:val="center"/>
          </w:tcPr>
          <w:p>
            <w:pPr>
              <w:pStyle w:val="TableContents"/>
              <w:bidi w:val="0"/>
              <w:spacing w:before="0" w:after="283"/>
              <w:jc w:val="left"/>
              <w:rPr/>
            </w:pPr>
            <w:r>
              <w:rPr/>
              <w:t>2</w:t>
            </w:r>
          </w:p>
        </w:tc>
        <w:tc>
          <w:tcPr>
            <w:tcW w:w="79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81" w:type="dxa"/>
            <w:tcBorders/>
            <w:vAlign w:val="center"/>
          </w:tcPr>
          <w:p>
            <w:pPr>
              <w:pStyle w:val="TableContents"/>
              <w:bidi w:val="0"/>
              <w:spacing w:before="0" w:after="283"/>
              <w:jc w:val="left"/>
              <w:rPr/>
            </w:pPr>
            <w:r>
              <w:rPr/>
              <w:t>3</w:t>
            </w:r>
          </w:p>
        </w:tc>
        <w:tc>
          <w:tcPr>
            <w:tcW w:w="7924" w:type="dxa"/>
            <w:tcBorders/>
            <w:vAlign w:val="center"/>
          </w:tcPr>
          <w:p>
            <w:pPr>
              <w:pStyle w:val="TableContents"/>
              <w:bidi w:val="0"/>
              <w:spacing w:before="0" w:after="283"/>
              <w:jc w:val="left"/>
              <w:rPr/>
            </w:pPr>
            <w:r>
              <w:rPr/>
              <w:t>SEC use only</w:t>
            </w:r>
          </w:p>
        </w:tc>
      </w:tr>
      <w:tr>
        <w:trPr/>
        <w:tc>
          <w:tcPr>
            <w:tcW w:w="2281" w:type="dxa"/>
            <w:tcBorders/>
            <w:vAlign w:val="center"/>
          </w:tcPr>
          <w:p>
            <w:pPr>
              <w:pStyle w:val="TableContents"/>
              <w:bidi w:val="0"/>
              <w:spacing w:before="0" w:after="283"/>
              <w:jc w:val="left"/>
              <w:rPr/>
            </w:pPr>
            <w:r>
              <w:rPr/>
              <w:t>4</w:t>
            </w:r>
          </w:p>
        </w:tc>
        <w:tc>
          <w:tcPr>
            <w:tcW w:w="79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1" w:type="dxa"/>
            <w:tcBorders/>
            <w:vAlign w:val="center"/>
          </w:tcPr>
          <w:p>
            <w:pPr>
              <w:pStyle w:val="TableContents"/>
              <w:bidi w:val="0"/>
              <w:spacing w:before="0" w:after="283"/>
              <w:jc w:val="left"/>
              <w:rPr/>
            </w:pPr>
            <w:r>
              <w:rPr/>
              <w:t>5</w:t>
            </w:r>
          </w:p>
        </w:tc>
        <w:tc>
          <w:tcPr>
            <w:tcW w:w="79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6</w:t>
            </w:r>
          </w:p>
        </w:tc>
        <w:tc>
          <w:tcPr>
            <w:tcW w:w="79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2,947,370.00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2,947,370.00</w:t>
                  </w:r>
                </w:p>
              </w:tc>
            </w:tr>
          </w:tbl>
          <w:p>
            <w:pPr>
              <w:pStyle w:val="TableContents"/>
              <w:bidi w:val="0"/>
              <w:spacing w:before="0" w:after="283"/>
              <w:jc w:val="left"/>
              <w:rPr/>
            </w:pPr>
            <w:r>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pPr>
            <w:r>
              <w:rPr/>
              <w:t>11</w:t>
            </w:r>
          </w:p>
        </w:tc>
        <w:tc>
          <w:tcPr>
            <w:tcW w:w="79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2,947,370.00</w:t>
            </w:r>
          </w:p>
        </w:tc>
      </w:tr>
      <w:tr>
        <w:trPr/>
        <w:tc>
          <w:tcPr>
            <w:tcW w:w="2281" w:type="dxa"/>
            <w:tcBorders/>
            <w:vAlign w:val="center"/>
          </w:tcPr>
          <w:p>
            <w:pPr>
              <w:pStyle w:val="TableContents"/>
              <w:bidi w:val="0"/>
              <w:spacing w:before="0" w:after="283"/>
              <w:jc w:val="left"/>
              <w:rPr/>
            </w:pPr>
            <w:r>
              <w:rPr/>
              <w:t>12</w:t>
            </w:r>
          </w:p>
        </w:tc>
        <w:tc>
          <w:tcPr>
            <w:tcW w:w="79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13</w:t>
            </w:r>
          </w:p>
        </w:tc>
        <w:tc>
          <w:tcPr>
            <w:tcW w:w="79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281" w:type="dxa"/>
            <w:tcBorders/>
            <w:vAlign w:val="center"/>
          </w:tcPr>
          <w:p>
            <w:pPr>
              <w:pStyle w:val="TableContents"/>
              <w:bidi w:val="0"/>
              <w:spacing w:before="0" w:after="283"/>
              <w:jc w:val="left"/>
              <w:rPr/>
            </w:pPr>
            <w:r>
              <w:rPr/>
              <w:t>14</w:t>
            </w:r>
          </w:p>
        </w:tc>
        <w:tc>
          <w:tcPr>
            <w:tcW w:w="79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MANAGEMENT GP, LLC</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3,395,965.00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3,395,965.00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3,395,965.00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GROPPER DAN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3,395,965.00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3,395,965.00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3,395,965.00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Cannae Holdings,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CANNAE HOLDINGS, INC., 1701 VILLAGE CENTER CIRCLE, LAS VEGAS, NEVADA , 89134.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3 to the Schedule 13D filed by the undersigned ("Amendment No. 3"). This Amendment No. 3 amends the Schedule 13D as specifically set forth herein. Unless otherwise defined herein, all capitalized terms used herein shall have the meanings given to them in the Schedule 13D.</w:t>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3 is hereby amended and restated to read as follows: The Shares purchased by Carronade and held in certain accounts managed by Carronade Capital Management (the "Managed Accounts") were purchased with working capital (which may, at any given time, include margin loans made by brokerage firms in the ordinary course of business). The aggregate purchase price of the 2,947,370 Shares beneficially owned by Carronade is approximately $53,983,128, excluding brokerage commissions. The aggregate purchase price of the 448,595 Shares held in the Managed Accounts is approximately $7,224,577, excluding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Item 5(a) is hereby amended and restated to read as follows: The percentages used in this Schedule 13D are based upon 43,400,000 Shares outstanding, as of July 31, 2026, as reported by the Issuer in its Sum of the Parts report, dated July 31, 2026, which was posted on the Issuer's website. As of the date hereof, Carronade beneficially owns directly 2,947,370 Shares, representing approximately 6.8% of the outstanding Shares. Carronade Capital GP, as the general partner of Carronade, may be deemed the beneficial owner of the 2,947,370 shares of Common Stock owned directly by Carronade, representing approximately 6.8% of the outstanding Shares. As of the date hereof, 448,595 Shares were held in the Managed Accounts, representing approximately 1.0% of the outstanding Shares. Carronade Capital Management, as the investment manager of each of Carronade and the Managed Accounts, may be deemed the beneficial owner of the (i) 2,947,370 Shares beneficially owned directly by Carronade and (ii) 448,595 Shares held in the Managed Accounts, representing approximately 7.8% of the outstanding Shares. Carronade Capital Management GP, as the general partner of Carronade Capital Management, may be deemed the beneficial owner of the (i) 2,947,370 Shares beneficially owned directly by Carronade and (ii) 448,595 Shares held in the Managed Accounts, representing approximately 7.8% of the outstanding Shares. Mr. Gropper, as the Managing Member of Carronade Capital Management GP, may be deemed the beneficial owner of the (i) 2,947,370 Shares beneficially owned directly by Carronade and (ii) 448,595 Shares held in the Managed Accounts, representing approximately 7.8% of the outstanding Shares. The filing of this Amendment No. 3 shall not be deemed an admission that the Reporting Persons are, for purposes of Section 13(d) of the Securities Exchange Act of 1934, as amended, the beneficial owners of any securities of the Issuer that he, she or it does not directly own. Each of the Reporting Persons specifically disclaims beneficial ownership of the securities reported herein that he, she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Item 5(c) is hereby amended to add the following: Information concerning transactions in the securities of the Issuer effected by the Reporting Persons during the past sixty days is set forth in Exhibit 1 attached hereto and is incorporated herein by reference. All of the transactions in the securities of the Issuer listed therein were effected in the open market through various brokerage entities.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7 is hereby amended to add the following exhibit: 1 - Transactions in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23"/>
        <w:gridCol w:w="5082"/>
      </w:tblGrid>
      <w:tr>
        <w:trPr/>
        <w:tc>
          <w:tcPr>
            <w:tcW w:w="5123" w:type="dxa"/>
            <w:tcBorders/>
            <w:vAlign w:val="center"/>
          </w:tcPr>
          <w:p>
            <w:pPr>
              <w:pStyle w:val="TableContents"/>
              <w:bidi w:val="0"/>
              <w:spacing w:before="0" w:after="0"/>
              <w:jc w:val="left"/>
              <w:rPr/>
            </w:pPr>
            <w:r>
              <w:rPr/>
              <w:t> </w:t>
            </w:r>
          </w:p>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0"/>
                    <w:jc w:val="left"/>
                    <w:rPr/>
                  </w:pPr>
                  <w:r>
                    <w:rPr/>
                    <w:t>CARRONADE CAPITAL MANAGEMENT, LP</w:t>
                  </w:r>
                </w:p>
              </w:tc>
            </w:tr>
          </w:tbl>
          <w:p>
            <w:pPr>
              <w:pStyle w:val="TableContents"/>
              <w:bidi w:val="0"/>
              <w:spacing w:before="0" w:after="283"/>
              <w:jc w:val="left"/>
              <w:rPr/>
            </w:pPr>
            <w:r>
              <w:rPr/>
            </w:r>
          </w:p>
        </w:tc>
        <w:tc>
          <w:tcPr>
            <w:tcW w:w="50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Rinarisa Coronel DeFronze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Rinarisa Coronel DeFronze, Chief Compliance Officer &amp;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Carronade Capital Master,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Rinarisa Coronel DeFronze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Rinarisa Coronel DeFronze,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CARRONADE CAPITAL GP,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Rinarisa Coronel DeFronze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Rinarisa Coronel DeFronze,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1"/>
        <w:gridCol w:w="4974"/>
      </w:tblGrid>
      <w:tr>
        <w:trPr/>
        <w:tc>
          <w:tcPr>
            <w:tcW w:w="5231" w:type="dxa"/>
            <w:tcBorders/>
            <w:vAlign w:val="center"/>
          </w:tcPr>
          <w:p>
            <w:pPr>
              <w:pStyle w:val="TableContents"/>
              <w:bidi w:val="0"/>
              <w:spacing w:before="0" w:after="0"/>
              <w:jc w:val="left"/>
              <w:rPr/>
            </w:pPr>
            <w:r>
              <w:rPr/>
              <w:t> </w:t>
            </w:r>
          </w:p>
          <w:tbl>
            <w:tblPr>
              <w:tblW w:w="5596" w:type="dxa"/>
              <w:jc w:val="left"/>
              <w:tblInd w:w="0" w:type="dxa"/>
              <w:tblLayout w:type="fixed"/>
              <w:tblCellMar>
                <w:top w:w="28" w:type="dxa"/>
                <w:left w:w="28" w:type="dxa"/>
                <w:bottom w:w="28" w:type="dxa"/>
                <w:right w:w="28" w:type="dxa"/>
              </w:tblCellMar>
            </w:tblPr>
            <w:tblGrid>
              <w:gridCol w:w="5596"/>
            </w:tblGrid>
            <w:tr>
              <w:trPr/>
              <w:tc>
                <w:tcPr>
                  <w:tcW w:w="5596" w:type="dxa"/>
                  <w:tcBorders/>
                  <w:vAlign w:val="center"/>
                </w:tcPr>
                <w:p>
                  <w:pPr>
                    <w:pStyle w:val="TableContents"/>
                    <w:bidi w:val="0"/>
                    <w:spacing w:before="0" w:after="0"/>
                    <w:jc w:val="left"/>
                    <w:rPr/>
                  </w:pPr>
                  <w:r>
                    <w:rPr/>
                    <w:t>CARRONADE CAPITAL MANAGEMENT GP, LLC</w:t>
                  </w:r>
                </w:p>
              </w:tc>
            </w:tr>
          </w:tbl>
          <w:p>
            <w:pPr>
              <w:pStyle w:val="TableContents"/>
              <w:bidi w:val="0"/>
              <w:spacing w:before="0" w:after="283"/>
              <w:jc w:val="left"/>
              <w:rPr/>
            </w:pPr>
            <w:r>
              <w:rPr/>
            </w:r>
          </w:p>
        </w:tc>
        <w:tc>
          <w:tcPr>
            <w:tcW w:w="49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Rinarisa Coronel DeFronze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Rinarisa Coronel DeFronze,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GROPPER DAN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Dan Gropper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0" w:name="ex1to13da314229002_080726.htm"/>
      <w:bookmarkStart w:id="31" w:name="ksex1to13da314229002_080726"/>
      <w:bookmarkEnd w:id="30"/>
      <w:bookmarkEnd w:id="31"/>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Shares During the Past 60 Days</w:t>
      </w:r>
    </w:p>
    <w:tbl>
      <w:tblPr>
        <w:tblW w:w="5210" w:type="dxa"/>
        <w:jc w:val="left"/>
        <w:tblInd w:w="0" w:type="dxa"/>
        <w:tblLayout w:type="fixed"/>
        <w:tblCellMar>
          <w:top w:w="0" w:type="dxa"/>
          <w:left w:w="0" w:type="dxa"/>
          <w:bottom w:w="0" w:type="dxa"/>
          <w:right w:w="0" w:type="dxa"/>
        </w:tblCellMar>
      </w:tblPr>
      <w:tblGrid>
        <w:gridCol w:w="995"/>
        <w:gridCol w:w="1730"/>
        <w:gridCol w:w="1490"/>
        <w:gridCol w:w="995"/>
      </w:tblGrid>
      <w:tr>
        <w:trPr/>
        <w:tc>
          <w:tcPr>
            <w:tcW w:w="9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 / (Sold)</w:t>
            </w:r>
          </w:p>
        </w:tc>
        <w:tc>
          <w:tcPr>
            <w:tcW w:w="1490" w:type="dxa"/>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per Share ($)</w:t>
            </w:r>
          </w:p>
        </w:tc>
        <w:tc>
          <w:tcPr>
            <w:tcW w:w="9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w:t>
            </w:r>
          </w:p>
        </w:tc>
      </w:tr>
    </w:tbl>
    <w:p>
      <w:pPr>
        <w:pStyle w:val="TextBody"/>
        <w:bidi w:val="0"/>
        <w:spacing w:before="240" w:after="240"/>
        <w:ind w:left="240" w:right="24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CARRONADE CAPITAL MANAGEMENT, LP</w:t>
        <w:br/>
        <w:t>(Through the Managed Accounts)</w:t>
      </w:r>
    </w:p>
    <w:tbl>
      <w:tblPr>
        <w:tblW w:w="7130" w:type="dxa"/>
        <w:jc w:val="left"/>
        <w:tblInd w:w="0" w:type="dxa"/>
        <w:tblLayout w:type="fixed"/>
        <w:tblCellMar>
          <w:top w:w="0" w:type="dxa"/>
          <w:left w:w="0" w:type="dxa"/>
          <w:bottom w:w="0" w:type="dxa"/>
          <w:right w:w="0" w:type="dxa"/>
        </w:tblCellMar>
      </w:tblPr>
      <w:tblGrid>
        <w:gridCol w:w="4265"/>
        <w:gridCol w:w="950"/>
        <w:gridCol w:w="800"/>
        <w:gridCol w:w="1115"/>
      </w:tblGrid>
      <w:tr>
        <w:trPr/>
        <w:tc>
          <w:tcPr>
            <w:tcW w:w="4265" w:type="dxa"/>
            <w:tcBorders/>
            <w:shd w:fill="CCEEFF" w:val="clear"/>
            <w:vAlign w:val="center"/>
          </w:tcPr>
          <w:p>
            <w:pPr>
              <w:pStyle w:val="TableContents"/>
              <w:bidi w:val="0"/>
              <w:spacing w:before="0" w:after="283"/>
              <w:jc w:val="left"/>
              <w:rPr/>
            </w:pPr>
            <w:r>
              <w:rPr/>
              <w:t>Sale of Common Stock</w:t>
            </w:r>
          </w:p>
        </w:tc>
        <w:tc>
          <w:tcPr>
            <w:tcW w:w="950" w:type="dxa"/>
            <w:tcBorders/>
            <w:shd w:fill="CCEEFF" w:val="clear"/>
            <w:vAlign w:val="center"/>
          </w:tcPr>
          <w:p>
            <w:pPr>
              <w:pStyle w:val="TableContents"/>
              <w:bidi w:val="0"/>
              <w:spacing w:before="0" w:after="283"/>
              <w:jc w:val="center"/>
              <w:rPr/>
            </w:pPr>
            <w:r>
              <w:rPr/>
              <w:t>(32,500)</w:t>
            </w:r>
          </w:p>
        </w:tc>
        <w:tc>
          <w:tcPr>
            <w:tcW w:w="800" w:type="dxa"/>
            <w:tcBorders/>
            <w:shd w:fill="CCEEFF" w:val="clear"/>
            <w:vAlign w:val="center"/>
          </w:tcPr>
          <w:p>
            <w:pPr>
              <w:pStyle w:val="TableContents"/>
              <w:bidi w:val="0"/>
              <w:spacing w:before="0" w:after="283"/>
              <w:jc w:val="center"/>
              <w:rPr/>
            </w:pPr>
            <w:r>
              <w:rPr/>
              <w:t>14.3040</w:t>
            </w:r>
          </w:p>
        </w:tc>
        <w:tc>
          <w:tcPr>
            <w:tcW w:w="1115" w:type="dxa"/>
            <w:tcBorders/>
            <w:shd w:fill="CCEEFF" w:val="clear"/>
            <w:vAlign w:val="center"/>
          </w:tcPr>
          <w:p>
            <w:pPr>
              <w:pStyle w:val="TableContents"/>
              <w:bidi w:val="0"/>
              <w:spacing w:before="0" w:after="283"/>
              <w:jc w:val="center"/>
              <w:rPr/>
            </w:pPr>
            <w:r>
              <w:rPr/>
              <w:t>06/08/2026</w:t>
            </w:r>
          </w:p>
        </w:tc>
      </w:tr>
      <w:tr>
        <w:trPr/>
        <w:tc>
          <w:tcPr>
            <w:tcW w:w="4265" w:type="dxa"/>
            <w:tcBorders/>
            <w:shd w:fill="FFFFFF" w:val="clear"/>
            <w:vAlign w:val="center"/>
          </w:tcPr>
          <w:p>
            <w:pPr>
              <w:pStyle w:val="TableContents"/>
              <w:bidi w:val="0"/>
              <w:spacing w:before="0" w:after="283"/>
              <w:jc w:val="left"/>
              <w:rPr/>
            </w:pPr>
            <w:r>
              <w:rPr/>
              <w:t>Purchase of Cash-Settled Total Return Swap</w:t>
            </w:r>
          </w:p>
        </w:tc>
        <w:tc>
          <w:tcPr>
            <w:tcW w:w="950" w:type="dxa"/>
            <w:tcBorders/>
            <w:shd w:fill="FFFFFF" w:val="clear"/>
            <w:vAlign w:val="center"/>
          </w:tcPr>
          <w:p>
            <w:pPr>
              <w:pStyle w:val="TableContents"/>
              <w:bidi w:val="0"/>
              <w:spacing w:before="0" w:after="283"/>
              <w:jc w:val="center"/>
              <w:rPr/>
            </w:pPr>
            <w:r>
              <w:rPr/>
              <w:t>65,817</w:t>
            </w:r>
          </w:p>
        </w:tc>
        <w:tc>
          <w:tcPr>
            <w:tcW w:w="800" w:type="dxa"/>
            <w:tcBorders/>
            <w:shd w:fill="FFFFFF" w:val="clear"/>
            <w:vAlign w:val="center"/>
          </w:tcPr>
          <w:p>
            <w:pPr>
              <w:pStyle w:val="TableContents"/>
              <w:bidi w:val="0"/>
              <w:spacing w:before="0" w:after="283"/>
              <w:jc w:val="center"/>
              <w:rPr/>
            </w:pPr>
            <w:r>
              <w:rPr/>
              <w:t>15.0085</w:t>
            </w:r>
          </w:p>
        </w:tc>
        <w:tc>
          <w:tcPr>
            <w:tcW w:w="1115" w:type="dxa"/>
            <w:tcBorders/>
            <w:shd w:fill="FFFFFF" w:val="clear"/>
            <w:vAlign w:val="center"/>
          </w:tcPr>
          <w:p>
            <w:pPr>
              <w:pStyle w:val="TableContents"/>
              <w:bidi w:val="0"/>
              <w:spacing w:before="0" w:after="283"/>
              <w:jc w:val="center"/>
              <w:rPr/>
            </w:pPr>
            <w:r>
              <w:rPr/>
              <w:t>08/04/2026</w:t>
            </w:r>
          </w:p>
        </w:tc>
      </w:tr>
      <w:tr>
        <w:trPr/>
        <w:tc>
          <w:tcPr>
            <w:tcW w:w="4265" w:type="dxa"/>
            <w:tcBorders/>
            <w:shd w:fill="CCEEFF" w:val="clear"/>
            <w:vAlign w:val="center"/>
          </w:tcPr>
          <w:p>
            <w:pPr>
              <w:pStyle w:val="TableContents"/>
              <w:bidi w:val="0"/>
              <w:spacing w:before="0" w:after="283"/>
              <w:jc w:val="left"/>
              <w:rPr/>
            </w:pPr>
            <w:r>
              <w:rPr/>
              <w:t>Purchase of Cash-Settled Total Return Swap</w:t>
            </w:r>
          </w:p>
        </w:tc>
        <w:tc>
          <w:tcPr>
            <w:tcW w:w="950" w:type="dxa"/>
            <w:tcBorders/>
            <w:shd w:fill="CCEEFF" w:val="clear"/>
            <w:vAlign w:val="center"/>
          </w:tcPr>
          <w:p>
            <w:pPr>
              <w:pStyle w:val="TableContents"/>
              <w:bidi w:val="0"/>
              <w:spacing w:before="0" w:after="283"/>
              <w:jc w:val="center"/>
              <w:rPr/>
            </w:pPr>
            <w:r>
              <w:rPr/>
              <w:t>100,000</w:t>
            </w:r>
          </w:p>
        </w:tc>
        <w:tc>
          <w:tcPr>
            <w:tcW w:w="800" w:type="dxa"/>
            <w:tcBorders/>
            <w:shd w:fill="CCEEFF" w:val="clear"/>
            <w:vAlign w:val="center"/>
          </w:tcPr>
          <w:p>
            <w:pPr>
              <w:pStyle w:val="TableContents"/>
              <w:bidi w:val="0"/>
              <w:spacing w:before="0" w:after="283"/>
              <w:jc w:val="center"/>
              <w:rPr/>
            </w:pPr>
            <w:r>
              <w:rPr/>
              <w:t>14.9966</w:t>
            </w:r>
          </w:p>
        </w:tc>
        <w:tc>
          <w:tcPr>
            <w:tcW w:w="1115" w:type="dxa"/>
            <w:tcBorders/>
            <w:shd w:fill="CCEEFF" w:val="clear"/>
            <w:vAlign w:val="center"/>
          </w:tcPr>
          <w:p>
            <w:pPr>
              <w:pStyle w:val="TableContents"/>
              <w:bidi w:val="0"/>
              <w:spacing w:before="0" w:after="283"/>
              <w:jc w:val="center"/>
              <w:rPr/>
            </w:pPr>
            <w:r>
              <w:rPr/>
              <w:t>08/05/2026</w:t>
            </w:r>
          </w:p>
        </w:tc>
      </w:tr>
      <w:tr>
        <w:trPr/>
        <w:tc>
          <w:tcPr>
            <w:tcW w:w="4265" w:type="dxa"/>
            <w:tcBorders/>
            <w:shd w:fill="FFFFFF" w:val="clear"/>
            <w:vAlign w:val="center"/>
          </w:tcPr>
          <w:p>
            <w:pPr>
              <w:pStyle w:val="TableContents"/>
              <w:bidi w:val="0"/>
              <w:spacing w:before="0" w:after="283"/>
              <w:jc w:val="left"/>
              <w:rPr/>
            </w:pPr>
            <w:r>
              <w:rPr/>
              <w:t>Sale of Cash-Settled Total Return Swap</w:t>
            </w:r>
          </w:p>
        </w:tc>
        <w:tc>
          <w:tcPr>
            <w:tcW w:w="950" w:type="dxa"/>
            <w:tcBorders/>
            <w:shd w:fill="FFFFFF" w:val="clear"/>
            <w:vAlign w:val="center"/>
          </w:tcPr>
          <w:p>
            <w:pPr>
              <w:pStyle w:val="TableContents"/>
              <w:bidi w:val="0"/>
              <w:spacing w:before="0" w:after="283"/>
              <w:jc w:val="center"/>
              <w:rPr/>
            </w:pPr>
            <w:r>
              <w:rPr/>
              <w:t>(165,817)</w:t>
            </w:r>
          </w:p>
        </w:tc>
        <w:tc>
          <w:tcPr>
            <w:tcW w:w="800" w:type="dxa"/>
            <w:tcBorders/>
            <w:shd w:fill="FFFFFF" w:val="clear"/>
            <w:vAlign w:val="center"/>
          </w:tcPr>
          <w:p>
            <w:pPr>
              <w:pStyle w:val="TableContents"/>
              <w:bidi w:val="0"/>
              <w:spacing w:before="0" w:after="283"/>
              <w:jc w:val="center"/>
              <w:rPr/>
            </w:pPr>
            <w:r>
              <w:rPr/>
              <w:t>14.8400</w:t>
            </w:r>
          </w:p>
        </w:tc>
        <w:tc>
          <w:tcPr>
            <w:tcW w:w="1115" w:type="dxa"/>
            <w:tcBorders/>
            <w:shd w:fill="FFFFFF" w:val="clear"/>
            <w:vAlign w:val="center"/>
          </w:tcPr>
          <w:p>
            <w:pPr>
              <w:pStyle w:val="TableContents"/>
              <w:bidi w:val="0"/>
              <w:spacing w:before="0" w:after="283"/>
              <w:jc w:val="center"/>
              <w:rPr/>
            </w:pPr>
            <w:r>
              <w:rPr/>
              <w:t>08/06/2026</w:t>
            </w:r>
          </w:p>
        </w:tc>
      </w:tr>
      <w:tr>
        <w:trPr/>
        <w:tc>
          <w:tcPr>
            <w:tcW w:w="4265" w:type="dxa"/>
            <w:tcBorders/>
            <w:shd w:fill="CCEEFF" w:val="clear"/>
            <w:vAlign w:val="center"/>
          </w:tcPr>
          <w:p>
            <w:pPr>
              <w:pStyle w:val="TableContents"/>
              <w:bidi w:val="0"/>
              <w:spacing w:before="0" w:after="283"/>
              <w:jc w:val="left"/>
              <w:rPr/>
            </w:pPr>
            <w:r>
              <w:rPr/>
              <w:t>Purchase of Common Stock</w:t>
            </w:r>
          </w:p>
        </w:tc>
        <w:tc>
          <w:tcPr>
            <w:tcW w:w="950" w:type="dxa"/>
            <w:tcBorders/>
            <w:shd w:fill="CCEEFF" w:val="clear"/>
            <w:vAlign w:val="center"/>
          </w:tcPr>
          <w:p>
            <w:pPr>
              <w:pStyle w:val="TableContents"/>
              <w:bidi w:val="0"/>
              <w:spacing w:before="0" w:after="283"/>
              <w:jc w:val="center"/>
              <w:rPr/>
            </w:pPr>
            <w:r>
              <w:rPr/>
              <w:t>165,817</w:t>
            </w:r>
          </w:p>
        </w:tc>
        <w:tc>
          <w:tcPr>
            <w:tcW w:w="800" w:type="dxa"/>
            <w:tcBorders/>
            <w:shd w:fill="CCEEFF" w:val="clear"/>
            <w:vAlign w:val="center"/>
          </w:tcPr>
          <w:p>
            <w:pPr>
              <w:pStyle w:val="TableContents"/>
              <w:bidi w:val="0"/>
              <w:spacing w:before="0" w:after="283"/>
              <w:jc w:val="center"/>
              <w:rPr/>
            </w:pPr>
            <w:r>
              <w:rPr/>
              <w:t>14.8400</w:t>
            </w:r>
          </w:p>
        </w:tc>
        <w:tc>
          <w:tcPr>
            <w:tcW w:w="1115" w:type="dxa"/>
            <w:tcBorders/>
            <w:shd w:fill="CCEEFF" w:val="clear"/>
            <w:vAlign w:val="center"/>
          </w:tcPr>
          <w:p>
            <w:pPr>
              <w:pStyle w:val="TableContents"/>
              <w:bidi w:val="0"/>
              <w:spacing w:before="0" w:after="283"/>
              <w:jc w:val="center"/>
              <w:rPr/>
            </w:pPr>
            <w:r>
              <w:rPr/>
              <w:t>08/06/2026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1682</Words>
  <Characters>9042</Characters>
  <CharactersWithSpaces>10567</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