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UNITED STATES SECURITIES AND EXCHANGE COMMISSION</w:t>
      </w:r>
    </w:p>
    <w:p>
      <w:pPr>
        <w:pStyle w:val="TextBody"/>
        <w:bidi w:val="0"/>
        <w:spacing w:lineRule="auto" w:line="288" w:before="0" w:after="12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120"/>
        <w:jc w:val="center"/>
        <w:rPr>
          <w:rFonts w:ascii="Times New Roman;serif" w:hAnsi="Times New Roman;serif"/>
          <w:b/>
          <w:color w:val="000000"/>
          <w:sz w:val="36"/>
        </w:rPr>
      </w:pPr>
      <w:r>
        <w:rPr>
          <w:rFonts w:ascii="Times New Roman;serif" w:hAnsi="Times New Roman;serif"/>
          <w:b/>
          <w:color w:val="000000"/>
          <w:sz w:val="36"/>
        </w:rPr>
        <w:t xml:space="preserve">FORM 10-Q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89"/>
        <w:gridCol w:w="2789"/>
        <w:gridCol w:w="395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2789" w:type="dxa"/>
            <w:tcBorders/>
            <w:vAlign w:val="center"/>
          </w:tcPr>
          <w:p>
            <w:pPr>
              <w:pStyle w:val="TableContents"/>
              <w:bidi w:val="0"/>
              <w:spacing w:before="0" w:after="283"/>
              <w:jc w:val="left"/>
              <w:rPr>
                <w:sz w:val="4"/>
                <w:szCs w:val="4"/>
              </w:rPr>
            </w:pPr>
            <w:r>
              <w:rPr>
                <w:sz w:val="4"/>
                <w:szCs w:val="4"/>
              </w:rPr>
            </w:r>
          </w:p>
        </w:tc>
        <w:tc>
          <w:tcPr>
            <w:tcW w:w="3958"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2792"/>
        <w:gridCol w:w="2792"/>
        <w:gridCol w:w="395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2792" w:type="dxa"/>
            <w:tcBorders/>
            <w:vAlign w:val="center"/>
          </w:tcPr>
          <w:p>
            <w:pPr>
              <w:pStyle w:val="TableContents"/>
              <w:bidi w:val="0"/>
              <w:spacing w:before="0" w:after="283"/>
              <w:jc w:val="left"/>
              <w:rPr>
                <w:sz w:val="4"/>
                <w:szCs w:val="4"/>
              </w:rPr>
            </w:pPr>
            <w:r>
              <w:rPr>
                <w:sz w:val="4"/>
                <w:szCs w:val="4"/>
              </w:rPr>
            </w:r>
          </w:p>
        </w:tc>
        <w:tc>
          <w:tcPr>
            <w:tcW w:w="395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20" w:after="120"/>
        <w:jc w:val="center"/>
        <w:rPr>
          <w:rFonts w:ascii="Times New Roman;serif" w:hAnsi="Times New Roman;serif"/>
          <w:b/>
          <w:color w:val="000000"/>
          <w:sz w:val="20"/>
        </w:rPr>
      </w:pPr>
      <w:r>
        <w:rPr>
          <w:rFonts w:ascii="Times New Roman;serif" w:hAnsi="Times New Roman;serif"/>
          <w:b/>
          <w:color w:val="000000"/>
          <w:sz w:val="20"/>
        </w:rPr>
        <w:t xml:space="preserve">Commission File Number 1-38300 </w:t>
      </w:r>
    </w:p>
    <w:p>
      <w:pPr>
        <w:pStyle w:val="TextBody"/>
        <w:bidi w:val="0"/>
        <w:spacing w:lineRule="auto" w:line="288" w:before="120" w:after="283"/>
        <w:jc w:val="center"/>
        <w:rPr>
          <w:rFonts w:ascii="Times New Roman;serif" w:hAnsi="Times New Roman;serif"/>
          <w:b/>
          <w:color w:val="000000"/>
          <w:sz w:val="48"/>
        </w:rPr>
      </w:pPr>
      <w:r>
        <w:rPr>
          <w:rFonts w:ascii="Times New Roman;serif" w:hAnsi="Times New Roman;serif"/>
          <w:b/>
          <w:color w:val="000000"/>
          <w:sz w:val="48"/>
        </w:rPr>
        <w:t xml:space="preserve">CANNAE HOLDINGS, INC. </w:t>
      </w:r>
    </w:p>
    <w:p>
      <w:pPr>
        <w:pStyle w:val="TextBody"/>
        <w:bidi w:val="0"/>
        <w:spacing w:lineRule="auto" w:line="288" w:before="0" w:after="0"/>
        <w:jc w:val="center"/>
        <w:rPr>
          <w:rFonts w:ascii="Times New Roman;serif" w:hAnsi="Times New Roman;serif"/>
          <w:b/>
          <w:color w:val="000000"/>
          <w:sz w:val="12"/>
        </w:rPr>
      </w:pPr>
      <w:r>
        <w:rPr>
          <w:rFonts w:ascii="Times New Roman;serif" w:hAnsi="Times New Roman;serif"/>
          <w:b/>
          <w:color w:val="000000"/>
          <w:sz w:val="12"/>
        </w:rPr>
        <w:t>______________________________________________________________________________________________________________________________________________________</w:t>
      </w:r>
    </w:p>
    <w:p>
      <w:pPr>
        <w:pStyle w:val="TextBody"/>
        <w:bidi w:val="0"/>
        <w:spacing w:lineRule="auto" w:line="288" w:before="0" w:after="12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7555" w:type="dxa"/>
        <w:jc w:val="center"/>
        <w:tblInd w:w="0" w:type="dxa"/>
        <w:tblLayout w:type="fixed"/>
        <w:tblCellMar>
          <w:top w:w="28" w:type="dxa"/>
          <w:left w:w="28" w:type="dxa"/>
          <w:bottom w:w="28" w:type="dxa"/>
          <w:right w:w="28" w:type="dxa"/>
        </w:tblCellMar>
      </w:tblPr>
      <w:tblGrid>
        <w:gridCol w:w="878"/>
        <w:gridCol w:w="772"/>
        <w:gridCol w:w="779"/>
        <w:gridCol w:w="170"/>
        <w:gridCol w:w="170"/>
        <w:gridCol w:w="170"/>
        <w:gridCol w:w="339"/>
        <w:gridCol w:w="339"/>
        <w:gridCol w:w="341"/>
        <w:gridCol w:w="170"/>
        <w:gridCol w:w="170"/>
        <w:gridCol w:w="170"/>
        <w:gridCol w:w="250"/>
        <w:gridCol w:w="250"/>
        <w:gridCol w:w="251"/>
        <w:gridCol w:w="109"/>
        <w:gridCol w:w="109"/>
        <w:gridCol w:w="109"/>
        <w:gridCol w:w="586"/>
        <w:gridCol w:w="586"/>
        <w:gridCol w:w="837"/>
      </w:tblGrid>
      <w:tr>
        <w:trPr/>
        <w:tc>
          <w:tcPr>
            <w:tcW w:w="87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r>
      <w:tr>
        <w:trPr/>
        <w:tc>
          <w:tcPr>
            <w:tcW w:w="5219" w:type="dxa"/>
            <w:gridSpan w:val="15"/>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82-1273460</w:t>
            </w:r>
          </w:p>
        </w:tc>
      </w:tr>
      <w:tr>
        <w:trPr/>
        <w:tc>
          <w:tcPr>
            <w:tcW w:w="52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 of</w:t>
              <w:b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w:t>
              <w:br/>
              <w:t>Identification Number)</w:t>
            </w:r>
          </w:p>
        </w:tc>
      </w:tr>
      <w:tr>
        <w:trPr/>
        <w:tc>
          <w:tcPr>
            <w:tcW w:w="2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1701 Village Center Circle,</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Las Vegas,</w:t>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Nevada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89134</w:t>
            </w:r>
          </w:p>
        </w:tc>
      </w:tr>
      <w:tr>
        <w:trPr/>
        <w:tc>
          <w:tcPr>
            <w:tcW w:w="5219" w:type="dxa"/>
            <w:gridSpan w:val="15"/>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(702) 323-7330 </w:t>
      </w:r>
    </w:p>
    <w:p>
      <w:pPr>
        <w:pStyle w:val="TextBody"/>
        <w:bidi w:val="0"/>
        <w:spacing w:lineRule="auto" w:line="288" w:before="20" w:after="283"/>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w:t>
      </w:r>
    </w:p>
    <w:p>
      <w:pPr>
        <w:pStyle w:val="TextBody"/>
        <w:bidi w:val="0"/>
        <w:spacing w:lineRule="auto" w:line="288" w:before="20" w:after="283"/>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20" w:after="283"/>
        <w:jc w:val="center"/>
        <w:rPr/>
      </w:pPr>
      <w:r>
        <w:rPr/>
      </w:r>
    </w:p>
    <w:p>
      <w:pPr>
        <w:pStyle w:val="TextBody"/>
        <w:bidi w:val="0"/>
        <w:spacing w:lineRule="auto" w:line="288" w:before="0" w:after="12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9052" w:type="dxa"/>
        <w:jc w:val="left"/>
        <w:tblInd w:w="0" w:type="dxa"/>
        <w:tblLayout w:type="fixed"/>
        <w:tblCellMar>
          <w:top w:w="28" w:type="dxa"/>
          <w:left w:w="28" w:type="dxa"/>
          <w:bottom w:w="28" w:type="dxa"/>
          <w:right w:w="28" w:type="dxa"/>
        </w:tblCellMar>
      </w:tblPr>
      <w:tblGrid>
        <w:gridCol w:w="1347"/>
        <w:gridCol w:w="1178"/>
        <w:gridCol w:w="1194"/>
        <w:gridCol w:w="109"/>
        <w:gridCol w:w="109"/>
        <w:gridCol w:w="109"/>
        <w:gridCol w:w="419"/>
        <w:gridCol w:w="419"/>
        <w:gridCol w:w="421"/>
        <w:gridCol w:w="109"/>
        <w:gridCol w:w="109"/>
        <w:gridCol w:w="109"/>
        <w:gridCol w:w="1002"/>
        <w:gridCol w:w="1002"/>
        <w:gridCol w:w="1416"/>
      </w:tblGrid>
      <w:tr>
        <w:trPr/>
        <w:tc>
          <w:tcPr>
            <w:tcW w:w="1347" w:type="dxa"/>
            <w:tcBorders/>
            <w:vAlign w:val="center"/>
          </w:tcPr>
          <w:p>
            <w:pPr>
              <w:pStyle w:val="TableContents"/>
              <w:bidi w:val="0"/>
              <w:spacing w:before="0" w:after="283"/>
              <w:jc w:val="left"/>
              <w:rPr>
                <w:sz w:val="4"/>
                <w:szCs w:val="4"/>
              </w:rPr>
            </w:pPr>
            <w:r>
              <w:rPr>
                <w:sz w:val="4"/>
                <w:szCs w:val="4"/>
              </w:rPr>
            </w:r>
          </w:p>
        </w:tc>
        <w:tc>
          <w:tcPr>
            <w:tcW w:w="1178"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16" w:type="dxa"/>
            <w:tcBorders/>
            <w:vAlign w:val="center"/>
          </w:tcPr>
          <w:p>
            <w:pPr>
              <w:pStyle w:val="TableContents"/>
              <w:bidi w:val="0"/>
              <w:spacing w:before="0" w:after="283"/>
              <w:jc w:val="left"/>
              <w:rPr>
                <w:sz w:val="4"/>
                <w:szCs w:val="4"/>
              </w:rPr>
            </w:pPr>
            <w:r>
              <w:rPr>
                <w:sz w:val="4"/>
                <w:szCs w:val="4"/>
              </w:rPr>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37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Cannae Common Stock, $0.0001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CNNE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New York Stock Exchange</w:t>
            </w:r>
          </w:p>
        </w:tc>
      </w:tr>
    </w:tbl>
    <w:p>
      <w:pPr>
        <w:pStyle w:val="TextBody"/>
        <w:bidi w:val="0"/>
        <w:spacing w:before="0" w:after="0"/>
        <w:jc w:val="center"/>
        <w:rPr/>
      </w:pPr>
      <w:r>
        <w:rPr/>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36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tbl>
      <w:tblPr>
        <w:tblW w:w="10205" w:type="dxa"/>
        <w:jc w:val="center"/>
        <w:tblInd w:w="0" w:type="dxa"/>
        <w:tblLayout w:type="fixed"/>
        <w:tblCellMar>
          <w:top w:w="28" w:type="dxa"/>
          <w:left w:w="28" w:type="dxa"/>
          <w:bottom w:w="28" w:type="dxa"/>
          <w:right w:w="28" w:type="dxa"/>
        </w:tblCellMar>
      </w:tblPr>
      <w:tblGrid>
        <w:gridCol w:w="627"/>
        <w:gridCol w:w="551"/>
        <w:gridCol w:w="555"/>
        <w:gridCol w:w="109"/>
        <w:gridCol w:w="109"/>
        <w:gridCol w:w="109"/>
        <w:gridCol w:w="442"/>
        <w:gridCol w:w="442"/>
        <w:gridCol w:w="444"/>
        <w:gridCol w:w="109"/>
        <w:gridCol w:w="109"/>
        <w:gridCol w:w="109"/>
        <w:gridCol w:w="562"/>
        <w:gridCol w:w="562"/>
        <w:gridCol w:w="564"/>
        <w:gridCol w:w="109"/>
        <w:gridCol w:w="109"/>
        <w:gridCol w:w="109"/>
        <w:gridCol w:w="625"/>
        <w:gridCol w:w="625"/>
        <w:gridCol w:w="628"/>
        <w:gridCol w:w="109"/>
        <w:gridCol w:w="109"/>
        <w:gridCol w:w="109"/>
        <w:gridCol w:w="630"/>
        <w:gridCol w:w="630"/>
        <w:gridCol w:w="632"/>
        <w:gridCol w:w="109"/>
        <w:gridCol w:w="109"/>
        <w:gridCol w:w="160"/>
      </w:tblGrid>
      <w:tr>
        <w:trPr/>
        <w:tc>
          <w:tcPr>
            <w:tcW w:w="627"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2"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7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32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6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8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00" w:after="283"/>
        <w:ind w:left="0" w:right="0" w:firstLine="36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xml:space="preserve">☐ </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erif" w:hAnsi="Times New Roman;serif"/>
          <w:b w:val="false"/>
          <w:color w:val="000000"/>
          <w:sz w:val="20"/>
        </w:rPr>
        <w:t xml:space="preserve">Indicate by check mark whether the registrant is a shell company (as defined in Rule 12b-2 of the Exchange Act). Yes </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August 7, 2026 there were 43,374,227 shares of the Registrant's common stock outstanding.</w:t>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QUARTERLY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QUARTER ENDED 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3510"/>
        <w:gridCol w:w="3088"/>
        <w:gridCol w:w="3095"/>
        <w:gridCol w:w="149"/>
        <w:gridCol w:w="149"/>
        <w:gridCol w:w="214"/>
      </w:tblGrid>
      <w:tr>
        <w:trPr/>
        <w:tc>
          <w:tcPr>
            <w:tcW w:w="3510" w:type="dxa"/>
            <w:tcBorders/>
            <w:vAlign w:val="center"/>
          </w:tcPr>
          <w:p>
            <w:pPr>
              <w:pStyle w:val="TableContents"/>
              <w:bidi w:val="0"/>
              <w:spacing w:before="0" w:after="283"/>
              <w:jc w:val="left"/>
              <w:rPr>
                <w:sz w:val="4"/>
                <w:szCs w:val="4"/>
              </w:rPr>
            </w:pPr>
            <w:r>
              <w:rPr>
                <w:sz w:val="4"/>
                <w:szCs w:val="4"/>
              </w:rPr>
            </w:r>
          </w:p>
        </w:tc>
        <w:tc>
          <w:tcPr>
            <w:tcW w:w="3088" w:type="dxa"/>
            <w:tcBorders/>
            <w:vAlign w:val="center"/>
          </w:tcPr>
          <w:p>
            <w:pPr>
              <w:pStyle w:val="TableContents"/>
              <w:bidi w:val="0"/>
              <w:spacing w:before="0" w:after="283"/>
              <w:jc w:val="left"/>
              <w:rPr>
                <w:sz w:val="4"/>
                <w:szCs w:val="4"/>
              </w:rPr>
            </w:pPr>
            <w:r>
              <w:rPr>
                <w:sz w:val="4"/>
                <w:szCs w:val="4"/>
              </w:rPr>
            </w:r>
          </w:p>
        </w:tc>
        <w:tc>
          <w:tcPr>
            <w:tcW w:w="3095"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13">
              <w:r>
                <w:rPr>
                  <w:rStyle w:val="InternetLink"/>
                  <w:rFonts w:ascii="Times New Roman;serif" w:hAnsi="Times New Roman;serif"/>
                  <w:b w:val="false"/>
                  <w:color w:val="0000FF"/>
                  <w:sz w:val="20"/>
                  <w:u w:val="single"/>
                </w:rPr>
                <w:t>Part I: FINANCIAL INFORMATION</w:t>
              </w:r>
            </w:hyperlink>
          </w:p>
        </w:tc>
        <w:tc>
          <w:tcPr>
            <w:tcW w:w="512" w:type="dxa"/>
            <w:gridSpan w:val="3"/>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16">
              <w:r>
                <w:rPr>
                  <w:rStyle w:val="InternetLink"/>
                  <w:rFonts w:ascii="Times New Roman;serif" w:hAnsi="Times New Roman;serif"/>
                  <w:b w:val="false"/>
                  <w:color w:val="0000FF"/>
                  <w:sz w:val="20"/>
                  <w:u w:val="single"/>
                </w:rPr>
                <w:t>Item 1. Unaudited Condensed Consolidated Financial Statements</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19">
              <w:r>
                <w:rPr>
                  <w:rStyle w:val="InternetLink"/>
                  <w:rFonts w:ascii="Times New Roman;serif" w:hAnsi="Times New Roman;serif"/>
                  <w:b w:val="false"/>
                  <w:color w:val="000080"/>
                  <w:sz w:val="20"/>
                  <w:u w:val="single"/>
                </w:rPr>
                <w:t xml:space="preserve">A. Condensed Consolidated Balance Sheets as of </w:t>
              </w:r>
            </w:hyperlink>
            <w:hyperlink w:anchor="ibadcfa0da047460db7006d20594681a9_19">
              <w:r>
                <w:rPr>
                  <w:rStyle w:val="InternetLink"/>
                  <w:rFonts w:ascii="Times New Roman;serif" w:hAnsi="Times New Roman;serif"/>
                  <w:b w:val="false"/>
                  <w:color w:val="000080"/>
                  <w:sz w:val="20"/>
                  <w:u w:val="single"/>
                </w:rPr>
                <w:t>June 30</w:t>
              </w:r>
            </w:hyperlink>
            <w:hyperlink w:anchor="ibadcfa0da047460db7006d20594681a9_19">
              <w:r>
                <w:rPr>
                  <w:rStyle w:val="InternetLink"/>
                  <w:rFonts w:ascii="Times New Roman;serif" w:hAnsi="Times New Roman;serif"/>
                  <w:b w:val="false"/>
                  <w:color w:val="000080"/>
                  <w:sz w:val="20"/>
                  <w:u w:val="single"/>
                </w:rPr>
                <w:t>, 2026 and December 31,</w:t>
              </w:r>
            </w:hyperlink>
            <w:hyperlink w:anchor="ibadcfa0da047460db7006d20594681a9_19">
              <w:r>
                <w:rPr>
                  <w:rStyle w:val="InternetLink"/>
                  <w:rFonts w:ascii="Times New Roman;serif" w:hAnsi="Times New Roman;serif"/>
                  <w:b w:val="false"/>
                  <w:color w:val="000080"/>
                  <w:sz w:val="20"/>
                  <w:u w:val="single"/>
                </w:rPr>
                <w:t xml:space="preserve">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19">
              <w:r>
                <w:rPr>
                  <w:rStyle w:val="InternetLink"/>
                  <w:rFonts w:ascii="Times New Roman;serif" w:hAnsi="Times New Roman;serif"/>
                  <w:b w:val="false"/>
                  <w:color w:val="0000FF"/>
                  <w:sz w:val="20"/>
                  <w:u w:val="single"/>
                </w:rPr>
                <w:t>1</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2">
              <w:r>
                <w:rPr>
                  <w:rStyle w:val="InternetLink"/>
                  <w:rFonts w:ascii="Times New Roman;serif" w:hAnsi="Times New Roman;serif"/>
                  <w:b w:val="false"/>
                  <w:color w:val="000080"/>
                  <w:sz w:val="20"/>
                  <w:u w:val="single"/>
                </w:rPr>
                <w:t>B. Condensed Consolidated Statements of Operations for the three</w:t>
              </w:r>
            </w:hyperlink>
            <w:hyperlink w:anchor="ibadcfa0da047460db7006d20594681a9_22">
              <w:r>
                <w:rPr>
                  <w:rStyle w:val="InternetLink"/>
                  <w:rFonts w:ascii="Times New Roman;serif" w:hAnsi="Times New Roman;serif"/>
                  <w:b w:val="false"/>
                  <w:color w:val="000080"/>
                  <w:sz w:val="20"/>
                  <w:u w:val="single"/>
                </w:rPr>
                <w:t xml:space="preserve"> and s</w:t>
              </w:r>
            </w:hyperlink>
            <w:hyperlink w:anchor="ibadcfa0da047460db7006d20594681a9_22">
              <w:r>
                <w:rPr>
                  <w:rStyle w:val="InternetLink"/>
                  <w:rFonts w:ascii="Times New Roman;serif" w:hAnsi="Times New Roman;serif"/>
                  <w:b w:val="false"/>
                  <w:color w:val="000080"/>
                  <w:sz w:val="20"/>
                  <w:u w:val="single"/>
                </w:rPr>
                <w:t>ix</w:t>
              </w:r>
            </w:hyperlink>
            <w:hyperlink w:anchor="ibadcfa0da047460db7006d20594681a9_22">
              <w:r>
                <w:rPr>
                  <w:rStyle w:val="InternetLink"/>
                  <w:rFonts w:ascii="Times New Roman;serif" w:hAnsi="Times New Roman;serif"/>
                  <w:b w:val="false"/>
                  <w:color w:val="000080"/>
                  <w:sz w:val="20"/>
                  <w:u w:val="single"/>
                </w:rPr>
                <w:t xml:space="preserve">-month periods ended </w:t>
              </w:r>
            </w:hyperlink>
          </w:p>
          <w:p>
            <w:pPr>
              <w:pStyle w:val="TableContents"/>
              <w:bidi w:val="0"/>
              <w:spacing w:lineRule="auto" w:line="240" w:before="0" w:after="0"/>
              <w:jc w:val="left"/>
              <w:rPr/>
            </w:pPr>
            <w:hyperlink w:anchor="ibadcfa0da047460db7006d20594681a9_19">
              <w:r>
                <w:rPr>
                  <w:rStyle w:val="InternetLink"/>
                  <w:rFonts w:ascii="Times New Roman;serif" w:hAnsi="Times New Roman;serif"/>
                  <w:b w:val="false"/>
                  <w:color w:val="000080"/>
                  <w:sz w:val="20"/>
                  <w:u w:val="single"/>
                </w:rPr>
                <w:t xml:space="preserve">June </w:t>
              </w:r>
            </w:hyperlink>
            <w:hyperlink w:anchor="ibadcfa0da047460db7006d20594681a9_19">
              <w:r>
                <w:rPr>
                  <w:rStyle w:val="InternetLink"/>
                  <w:rFonts w:ascii="Times New Roman;serif" w:hAnsi="Times New Roman;serif"/>
                  <w:b w:val="false"/>
                  <w:color w:val="000080"/>
                  <w:sz w:val="20"/>
                  <w:u w:val="single"/>
                </w:rPr>
                <w:t>3</w:t>
              </w:r>
            </w:hyperlink>
            <w:hyperlink w:anchor="ibadcfa0da047460db7006d20594681a9_19">
              <w:r>
                <w:rPr>
                  <w:rStyle w:val="InternetLink"/>
                  <w:rFonts w:ascii="Times New Roman;serif" w:hAnsi="Times New Roman;serif"/>
                  <w:b w:val="false"/>
                  <w:color w:val="000080"/>
                  <w:sz w:val="20"/>
                  <w:u w:val="single"/>
                </w:rPr>
                <w:t>0</w:t>
              </w:r>
            </w:hyperlink>
            <w:hyperlink w:anchor="ibadcfa0da047460db7006d20594681a9_19">
              <w:r>
                <w:rPr>
                  <w:rStyle w:val="InternetLink"/>
                  <w:rFonts w:ascii="Times New Roman;serif" w:hAnsi="Times New Roman;serif"/>
                  <w:b w:val="false"/>
                  <w:color w:val="000080"/>
                  <w:sz w:val="20"/>
                  <w:u w:val="single"/>
                </w:rPr>
                <w:t>, 2026</w:t>
              </w:r>
            </w:hyperlink>
            <w:hyperlink w:anchor="ibadcfa0da047460db7006d20594681a9_22">
              <w:r>
                <w:rPr>
                  <w:rStyle w:val="InternetLink"/>
                  <w:rFonts w:ascii="Times New Roman;serif" w:hAnsi="Times New Roman;serif"/>
                  <w:b w:val="false"/>
                  <w:color w:val="000080"/>
                  <w:sz w:val="20"/>
                  <w:u w:val="single"/>
                </w:rPr>
                <w:t xml:space="preserve">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2">
              <w:r>
                <w:rPr>
                  <w:rStyle w:val="InternetLink"/>
                  <w:rFonts w:ascii="Times New Roman;serif" w:hAnsi="Times New Roman;serif"/>
                  <w:b w:val="false"/>
                  <w:color w:val="0000FF"/>
                  <w:sz w:val="20"/>
                  <w:u w:val="single"/>
                </w:rPr>
                <w:t>2</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5">
              <w:r>
                <w:rPr>
                  <w:rStyle w:val="InternetLink"/>
                  <w:rFonts w:ascii="Times New Roman;serif" w:hAnsi="Times New Roman;serif"/>
                  <w:b w:val="false"/>
                  <w:color w:val="000080"/>
                  <w:sz w:val="20"/>
                  <w:u w:val="single"/>
                </w:rPr>
                <w:t>C. Condensed Consolidated Statements of Comprehensive (Loss) Earnings for the three</w:t>
              </w:r>
            </w:hyperlink>
            <w:hyperlink w:anchor="ibadcfa0da047460db7006d20594681a9_25">
              <w:r>
                <w:rPr>
                  <w:rStyle w:val="InternetLink"/>
                  <w:rFonts w:ascii="Times New Roman;serif" w:hAnsi="Times New Roman;serif"/>
                  <w:b w:val="false"/>
                  <w:color w:val="000080"/>
                  <w:sz w:val="20"/>
                  <w:u w:val="single"/>
                </w:rPr>
                <w:t xml:space="preserve"> and six</w:t>
              </w:r>
            </w:hyperlink>
            <w:hyperlink w:anchor="ibadcfa0da047460db7006d20594681a9_25">
              <w:r>
                <w:rPr>
                  <w:rStyle w:val="InternetLink"/>
                  <w:rFonts w:ascii="Times New Roman;serif" w:hAnsi="Times New Roman;serif"/>
                  <w:b w:val="false"/>
                  <w:color w:val="000080"/>
                  <w:sz w:val="20"/>
                  <w:u w:val="single"/>
                </w:rPr>
                <w:t xml:space="preserve">-month periods ended </w:t>
              </w:r>
            </w:hyperlink>
            <w:hyperlink w:anchor="ibadcfa0da047460db7006d20594681a9_22">
              <w:r>
                <w:rPr>
                  <w:rStyle w:val="InternetLink"/>
                  <w:rFonts w:ascii="Times New Roman;serif" w:hAnsi="Times New Roman;serif"/>
                  <w:b w:val="false"/>
                  <w:color w:val="000080"/>
                  <w:sz w:val="20"/>
                  <w:u w:val="single"/>
                </w:rPr>
                <w:t>June</w:t>
              </w:r>
            </w:hyperlink>
            <w:hyperlink w:anchor="ibadcfa0da047460db7006d20594681a9_22">
              <w:r>
                <w:rPr>
                  <w:rStyle w:val="InternetLink"/>
                  <w:rFonts w:ascii="Times New Roman;serif" w:hAnsi="Times New Roman;serif"/>
                  <w:b w:val="false"/>
                  <w:color w:val="000080"/>
                  <w:sz w:val="20"/>
                  <w:u w:val="single"/>
                </w:rPr>
                <w:t xml:space="preserve"> 3</w:t>
              </w:r>
            </w:hyperlink>
            <w:hyperlink w:anchor="ibadcfa0da047460db7006d20594681a9_22">
              <w:r>
                <w:rPr>
                  <w:rStyle w:val="InternetLink"/>
                  <w:rFonts w:ascii="Times New Roman;serif" w:hAnsi="Times New Roman;serif"/>
                  <w:b w:val="false"/>
                  <w:color w:val="000080"/>
                  <w:sz w:val="20"/>
                  <w:u w:val="single"/>
                </w:rPr>
                <w:t>0</w:t>
              </w:r>
            </w:hyperlink>
            <w:hyperlink w:anchor="ibadcfa0da047460db7006d20594681a9_22">
              <w:r>
                <w:rPr>
                  <w:rStyle w:val="InternetLink"/>
                  <w:rFonts w:ascii="Times New Roman;serif" w:hAnsi="Times New Roman;serif"/>
                  <w:b w:val="false"/>
                  <w:color w:val="000080"/>
                  <w:sz w:val="20"/>
                  <w:u w:val="single"/>
                </w:rPr>
                <w:t>,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5">
              <w:r>
                <w:rPr>
                  <w:rStyle w:val="InternetLink"/>
                  <w:rFonts w:ascii="Times New Roman;serif" w:hAnsi="Times New Roman;serif"/>
                  <w:b w:val="false"/>
                  <w:color w:val="0000FF"/>
                  <w:sz w:val="20"/>
                  <w:u w:val="single"/>
                </w:rPr>
                <w:t>3</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8">
              <w:r>
                <w:rPr>
                  <w:rStyle w:val="InternetLink"/>
                  <w:rFonts w:ascii="Times New Roman;serif" w:hAnsi="Times New Roman;serif"/>
                  <w:b w:val="false"/>
                  <w:color w:val="000080"/>
                  <w:sz w:val="20"/>
                  <w:u w:val="single"/>
                </w:rPr>
                <w:t>D. Condensed Consolidated Statements of Equity for the three</w:t>
              </w:r>
            </w:hyperlink>
            <w:hyperlink w:anchor="ibadcfa0da047460db7006d20594681a9_28">
              <w:r>
                <w:rPr>
                  <w:rStyle w:val="InternetLink"/>
                  <w:rFonts w:ascii="Times New Roman;serif" w:hAnsi="Times New Roman;serif"/>
                  <w:b w:val="false"/>
                  <w:color w:val="000080"/>
                  <w:sz w:val="20"/>
                  <w:u w:val="single"/>
                </w:rPr>
                <w:t xml:space="preserve"> and six</w:t>
              </w:r>
            </w:hyperlink>
            <w:hyperlink w:anchor="ibadcfa0da047460db7006d20594681a9_28">
              <w:r>
                <w:rPr>
                  <w:rStyle w:val="InternetLink"/>
                  <w:rFonts w:ascii="Times New Roman;serif" w:hAnsi="Times New Roman;serif"/>
                  <w:b w:val="false"/>
                  <w:color w:val="000080"/>
                  <w:sz w:val="20"/>
                  <w:u w:val="single"/>
                </w:rPr>
                <w:t xml:space="preserve">-month periods ended </w:t>
              </w:r>
            </w:hyperlink>
          </w:p>
          <w:p>
            <w:pPr>
              <w:pStyle w:val="TableContents"/>
              <w:bidi w:val="0"/>
              <w:spacing w:lineRule="auto" w:line="240" w:before="0" w:after="0"/>
              <w:jc w:val="left"/>
              <w:rPr/>
            </w:pPr>
            <w:hyperlink w:anchor="ibadcfa0da047460db7006d20594681a9_22">
              <w:r>
                <w:rPr>
                  <w:rStyle w:val="InternetLink"/>
                  <w:color w:val="0000FF"/>
                  <w:u w:val="single"/>
                </w:rPr>
                <w:t> </w:t>
              </w:r>
            </w:hyperlink>
            <w:hyperlink w:anchor="ibadcfa0da047460db7006d20594681a9_22">
              <w:r>
                <w:rPr>
                  <w:rStyle w:val="InternetLink"/>
                  <w:rFonts w:ascii="Times New Roman;serif" w:hAnsi="Times New Roman;serif"/>
                  <w:b w:val="false"/>
                  <w:color w:val="000080"/>
                  <w:sz w:val="20"/>
                  <w:u w:val="single"/>
                </w:rPr>
                <w:t>June 30</w:t>
              </w:r>
            </w:hyperlink>
            <w:hyperlink w:anchor="ibadcfa0da047460db7006d20594681a9_22">
              <w:r>
                <w:rPr>
                  <w:rStyle w:val="InternetLink"/>
                  <w:rFonts w:ascii="Times New Roman;serif" w:hAnsi="Times New Roman;serif"/>
                  <w:b w:val="false"/>
                  <w:color w:val="000080"/>
                  <w:sz w:val="20"/>
                  <w:u w:val="single"/>
                </w:rPr>
                <w:t>,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8">
              <w:r>
                <w:rPr>
                  <w:rStyle w:val="InternetLink"/>
                  <w:rFonts w:ascii="Times New Roman;serif" w:hAnsi="Times New Roman;serif"/>
                  <w:b w:val="false"/>
                  <w:color w:val="0000FF"/>
                  <w:sz w:val="20"/>
                  <w:u w:val="single"/>
                </w:rPr>
                <w:t>4</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34">
              <w:r>
                <w:rPr>
                  <w:rStyle w:val="InternetLink"/>
                  <w:rFonts w:ascii="Times New Roman;serif" w:hAnsi="Times New Roman;serif"/>
                  <w:b w:val="false"/>
                  <w:color w:val="000080"/>
                  <w:sz w:val="20"/>
                  <w:u w:val="single"/>
                </w:rPr>
                <w:t>E. Condensed Consolidated Statements of Cash Flows for the</w:t>
              </w:r>
            </w:hyperlink>
            <w:hyperlink w:anchor="ibadcfa0da047460db7006d20594681a9_34">
              <w:r>
                <w:rPr>
                  <w:rStyle w:val="InternetLink"/>
                  <w:rFonts w:ascii="Times New Roman;serif" w:hAnsi="Times New Roman;serif"/>
                  <w:b w:val="false"/>
                  <w:color w:val="000080"/>
                  <w:sz w:val="20"/>
                  <w:u w:val="single"/>
                </w:rPr>
                <w:t xml:space="preserve"> </w:t>
              </w:r>
            </w:hyperlink>
            <w:hyperlink w:anchor="ibadcfa0da047460db7006d20594681a9_34">
              <w:r>
                <w:rPr>
                  <w:rStyle w:val="InternetLink"/>
                  <w:rFonts w:ascii="Times New Roman;serif" w:hAnsi="Times New Roman;serif"/>
                  <w:b w:val="false"/>
                  <w:color w:val="000080"/>
                  <w:sz w:val="20"/>
                  <w:u w:val="single"/>
                </w:rPr>
                <w:t>six</w:t>
              </w:r>
            </w:hyperlink>
            <w:hyperlink w:anchor="ibadcfa0da047460db7006d20594681a9_34">
              <w:r>
                <w:rPr>
                  <w:rStyle w:val="InternetLink"/>
                  <w:rFonts w:ascii="Times New Roman;serif" w:hAnsi="Times New Roman;serif"/>
                  <w:b w:val="false"/>
                  <w:color w:val="000080"/>
                  <w:sz w:val="20"/>
                  <w:u w:val="single"/>
                </w:rPr>
                <w:t xml:space="preserve">-month periods ended </w:t>
              </w:r>
            </w:hyperlink>
          </w:p>
          <w:p>
            <w:pPr>
              <w:pStyle w:val="TableContents"/>
              <w:bidi w:val="0"/>
              <w:spacing w:lineRule="auto" w:line="240" w:before="0" w:after="0"/>
              <w:jc w:val="left"/>
              <w:rPr/>
            </w:pPr>
            <w:hyperlink w:anchor="ibadcfa0da047460db7006d20594681a9_22">
              <w:r>
                <w:rPr>
                  <w:rStyle w:val="InternetLink"/>
                  <w:rFonts w:ascii="Times New Roman;serif" w:hAnsi="Times New Roman;serif"/>
                  <w:b w:val="false"/>
                  <w:color w:val="000080"/>
                  <w:sz w:val="20"/>
                  <w:u w:val="single"/>
                </w:rPr>
                <w:t>June</w:t>
              </w:r>
            </w:hyperlink>
            <w:hyperlink w:anchor="ibadcfa0da047460db7006d20594681a9_22">
              <w:r>
                <w:rPr>
                  <w:rStyle w:val="InternetLink"/>
                  <w:rFonts w:ascii="Times New Roman;serif" w:hAnsi="Times New Roman;serif"/>
                  <w:b w:val="false"/>
                  <w:color w:val="000080"/>
                  <w:sz w:val="20"/>
                  <w:u w:val="single"/>
                </w:rPr>
                <w:t xml:space="preserve"> 3</w:t>
              </w:r>
            </w:hyperlink>
            <w:hyperlink w:anchor="ibadcfa0da047460db7006d20594681a9_22">
              <w:r>
                <w:rPr>
                  <w:rStyle w:val="InternetLink"/>
                  <w:rFonts w:ascii="Times New Roman;serif" w:hAnsi="Times New Roman;serif"/>
                  <w:b w:val="false"/>
                  <w:color w:val="000080"/>
                  <w:sz w:val="20"/>
                  <w:u w:val="single"/>
                </w:rPr>
                <w:t>0</w:t>
              </w:r>
            </w:hyperlink>
            <w:hyperlink w:anchor="ibadcfa0da047460db7006d20594681a9_22">
              <w:r>
                <w:rPr>
                  <w:rStyle w:val="InternetLink"/>
                  <w:rFonts w:ascii="Times New Roman;serif" w:hAnsi="Times New Roman;serif"/>
                  <w:b w:val="false"/>
                  <w:color w:val="000080"/>
                  <w:sz w:val="20"/>
                  <w:u w:val="single"/>
                </w:rPr>
                <w:t>, 2026 and 2025</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34">
              <w:r>
                <w:rPr>
                  <w:rStyle w:val="InternetLink"/>
                  <w:rFonts w:ascii="Times New Roman;serif" w:hAnsi="Times New Roman;serif"/>
                  <w:b w:val="false"/>
                  <w:color w:val="0000FF"/>
                  <w:sz w:val="20"/>
                  <w:u w:val="single"/>
                </w:rPr>
                <w:t>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37">
              <w:r>
                <w:rPr>
                  <w:rStyle w:val="InternetLink"/>
                  <w:rFonts w:ascii="Times New Roman;serif" w:hAnsi="Times New Roman;serif"/>
                  <w:b w:val="false"/>
                  <w:color w:val="0000FF"/>
                  <w:sz w:val="20"/>
                  <w:u w:val="single"/>
                </w:rPr>
                <w:t xml:space="preserve">F. Notes to Condensed Consolidated Financial Statements </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40">
              <w:r>
                <w:rPr>
                  <w:rStyle w:val="InternetLink"/>
                  <w:rFonts w:ascii="Times New Roman;serif" w:hAnsi="Times New Roman;serif"/>
                  <w:b w:val="false"/>
                  <w:color w:val="0000FF"/>
                  <w:sz w:val="20"/>
                  <w:u w:val="single"/>
                </w:rPr>
                <w:t>7</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133">
              <w:r>
                <w:rPr>
                  <w:rStyle w:val="InternetLink"/>
                  <w:rFonts w:ascii="Times New Roman;serif" w:hAnsi="Times New Roman;serif"/>
                  <w:b w:val="false"/>
                  <w:color w:val="0000FF"/>
                  <w:sz w:val="20"/>
                  <w:u w:val="single"/>
                </w:rPr>
                <w:t>Item 2. Management’s Discussion and Analysis of Financial Condition and Results of Operations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133">
              <w:r>
                <w:rPr>
                  <w:rStyle w:val="InternetLink"/>
                  <w:rFonts w:ascii="Times New Roman;serif" w:hAnsi="Times New Roman;serif"/>
                  <w:b w:val="false"/>
                  <w:color w:val="0000FF"/>
                  <w:sz w:val="20"/>
                  <w:u w:val="single"/>
                </w:rPr>
                <w:t>25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53">
              <w:r>
                <w:rPr>
                  <w:rStyle w:val="InternetLink"/>
                  <w:rFonts w:ascii="Times New Roman;serif" w:hAnsi="Times New Roman;serif"/>
                  <w:b w:val="false"/>
                  <w:color w:val="0000FF"/>
                  <w:sz w:val="20"/>
                  <w:u w:val="single"/>
                </w:rPr>
                <w:t>Item 3. Quantitative and Qualitative Disclosure About Market Risk</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53">
              <w:r>
                <w:rPr>
                  <w:rStyle w:val="InternetLink"/>
                  <w:rFonts w:ascii="Times New Roman;serif" w:hAnsi="Times New Roman;serif"/>
                  <w:b w:val="false"/>
                  <w:color w:val="0000FF"/>
                  <w:sz w:val="20"/>
                  <w:u w:val="single"/>
                </w:rPr>
                <w:t>35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56">
              <w:r>
                <w:rPr>
                  <w:rStyle w:val="InternetLink"/>
                  <w:rFonts w:ascii="Times New Roman;serif" w:hAnsi="Times New Roman;serif"/>
                  <w:b w:val="false"/>
                  <w:color w:val="0000FF"/>
                  <w:sz w:val="20"/>
                  <w:u w:val="single"/>
                </w:rPr>
                <w:t>Item 4. Controls and Procedures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56">
              <w:r>
                <w:rPr>
                  <w:rStyle w:val="InternetLink"/>
                  <w:rFonts w:ascii="Times New Roman;serif" w:hAnsi="Times New Roman;serif"/>
                  <w:b w:val="false"/>
                  <w:color w:val="0000FF"/>
                  <w:sz w:val="20"/>
                  <w:u w:val="single"/>
                </w:rPr>
                <w:t>35</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65">
              <w:r>
                <w:rPr>
                  <w:rStyle w:val="InternetLink"/>
                  <w:rFonts w:ascii="Times New Roman;serif" w:hAnsi="Times New Roman;serif"/>
                  <w:b w:val="false"/>
                  <w:color w:val="0000FF"/>
                  <w:sz w:val="20"/>
                  <w:u w:val="single"/>
                </w:rPr>
                <w:t>Part II: OTHER INFORMATION</w:t>
              </w:r>
            </w:hyperlink>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68">
              <w:r>
                <w:rPr>
                  <w:rStyle w:val="InternetLink"/>
                  <w:rFonts w:ascii="Times New Roman;serif" w:hAnsi="Times New Roman;serif"/>
                  <w:b w:val="false"/>
                  <w:color w:val="0000FF"/>
                  <w:sz w:val="20"/>
                  <w:u w:val="single"/>
                </w:rPr>
                <w:t>Item 1. Legal Proceedings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68">
              <w:r>
                <w:rPr>
                  <w:rStyle w:val="InternetLink"/>
                  <w:rFonts w:ascii="Times New Roman;serif" w:hAnsi="Times New Roman;serif"/>
                  <w:b w:val="false"/>
                  <w:color w:val="0000FF"/>
                  <w:sz w:val="20"/>
                  <w:u w:val="single"/>
                </w:rPr>
                <w:t>35</w:t>
              </w:r>
            </w:hyperlink>
          </w:p>
        </w:tc>
      </w:tr>
      <w:tr>
        <w:trPr/>
        <w:tc>
          <w:tcPr>
            <w:tcW w:w="9693" w:type="dxa"/>
            <w:gridSpan w:val="3"/>
            <w:tcBorders/>
            <w:vAlign w:val="center"/>
          </w:tcPr>
          <w:p>
            <w:pPr>
              <w:pStyle w:val="TableContents"/>
              <w:bidi w:val="0"/>
              <w:spacing w:before="0" w:after="283"/>
              <w:jc w:val="left"/>
              <w:rPr>
                <w:sz w:val="4"/>
                <w:szCs w:val="4"/>
              </w:rPr>
            </w:pPr>
            <w:r>
              <w:rPr>
                <w:sz w:val="4"/>
                <w:szCs w:val="4"/>
              </w:rPr>
            </w:r>
          </w:p>
        </w:tc>
        <w:tc>
          <w:tcPr>
            <w:tcW w:w="512" w:type="dxa"/>
            <w:gridSpan w:val="3"/>
            <w:tcBorders/>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74">
              <w:r>
                <w:rPr>
                  <w:rStyle w:val="InternetLink"/>
                  <w:rFonts w:ascii="Times New Roman;serif" w:hAnsi="Times New Roman;serif"/>
                  <w:b w:val="false"/>
                  <w:color w:val="0000FF"/>
                  <w:sz w:val="20"/>
                  <w:u w:val="single"/>
                </w:rPr>
                <w:t>Item 2. Unregistered Sales of Equity Securities and Use of Proceeds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74">
              <w:r>
                <w:rPr>
                  <w:rStyle w:val="InternetLink"/>
                  <w:rFonts w:ascii="Times New Roman;serif" w:hAnsi="Times New Roman;serif"/>
                  <w:b w:val="false"/>
                  <w:color w:val="0000FF"/>
                  <w:sz w:val="20"/>
                  <w:u w:val="single"/>
                </w:rPr>
                <w:t>36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83">
              <w:r>
                <w:rPr>
                  <w:rStyle w:val="InternetLink"/>
                  <w:rFonts w:ascii="Times New Roman;serif" w:hAnsi="Times New Roman;serif"/>
                  <w:b w:val="false"/>
                  <w:color w:val="000080"/>
                  <w:sz w:val="20"/>
                  <w:u w:val="single"/>
                </w:rPr>
                <w:t>Item 3. D</w:t>
              </w:r>
            </w:hyperlink>
            <w:r>
              <w:rPr>
                <w:rFonts w:ascii="Times New Roman;serif" w:hAnsi="Times New Roman;serif"/>
                <w:b w:val="false"/>
                <w:color w:val="0000FF"/>
                <w:sz w:val="20"/>
                <w:u w:val="single"/>
              </w:rPr>
              <w:t>efaults Upon Senior Securities</w:t>
            </w:r>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83">
              <w:r>
                <w:rPr>
                  <w:rStyle w:val="InternetLink"/>
                  <w:rFonts w:ascii="Times New Roman;serif" w:hAnsi="Times New Roman;serif"/>
                  <w:b w:val="false"/>
                  <w:color w:val="0000FF"/>
                  <w:sz w:val="20"/>
                  <w:u w:val="single"/>
                </w:rPr>
                <w:t>36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86">
              <w:r>
                <w:rPr>
                  <w:rStyle w:val="InternetLink"/>
                  <w:rFonts w:ascii="Times New Roman;serif" w:hAnsi="Times New Roman;serif"/>
                  <w:b w:val="false"/>
                  <w:color w:val="0000FF"/>
                  <w:sz w:val="20"/>
                  <w:u w:val="single"/>
                </w:rPr>
                <w:t>Item 4. Mine Safety Disclosures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86">
              <w:r>
                <w:rPr>
                  <w:rStyle w:val="InternetLink"/>
                  <w:rFonts w:ascii="Times New Roman;serif" w:hAnsi="Times New Roman;serif"/>
                  <w:b w:val="false"/>
                  <w:color w:val="0000FF"/>
                  <w:sz w:val="20"/>
                  <w:u w:val="single"/>
                </w:rPr>
                <w:t>36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89">
              <w:r>
                <w:rPr>
                  <w:rStyle w:val="InternetLink"/>
                  <w:rFonts w:ascii="Times New Roman;serif" w:hAnsi="Times New Roman;serif"/>
                  <w:b w:val="false"/>
                  <w:color w:val="0000FF"/>
                  <w:sz w:val="20"/>
                  <w:u w:val="single"/>
                </w:rPr>
                <w:t>Item 5. Other Information</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89">
              <w:r>
                <w:rPr>
                  <w:rStyle w:val="InternetLink"/>
                  <w:rFonts w:ascii="Times New Roman;serif" w:hAnsi="Times New Roman;serif"/>
                  <w:b w:val="false"/>
                  <w:color w:val="0000FF"/>
                  <w:sz w:val="20"/>
                  <w:u w:val="single"/>
                </w:rPr>
                <w:t>36</w:t>
              </w:r>
            </w:hyperlink>
          </w:p>
        </w:tc>
      </w:tr>
      <w:tr>
        <w:trPr/>
        <w:tc>
          <w:tcPr>
            <w:tcW w:w="969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badcfa0da047460db7006d20594681a9_292">
              <w:r>
                <w:rPr>
                  <w:rStyle w:val="InternetLink"/>
                  <w:rFonts w:ascii="Times New Roman;serif" w:hAnsi="Times New Roman;serif"/>
                  <w:b w:val="false"/>
                  <w:color w:val="0000FF"/>
                  <w:sz w:val="20"/>
                  <w:u w:val="single"/>
                </w:rPr>
                <w:t>Item 6. Exhibits</w:t>
              </w:r>
            </w:hyperlink>
          </w:p>
        </w:tc>
        <w:tc>
          <w:tcPr>
            <w:tcW w:w="51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badcfa0da047460db7006d20594681a9_292">
              <w:r>
                <w:rPr>
                  <w:rStyle w:val="InternetLink"/>
                  <w:rFonts w:ascii="Times New Roman;serif" w:hAnsi="Times New Roman;serif"/>
                  <w:b w:val="false"/>
                  <w:color w:val="0000FF"/>
                  <w:sz w:val="20"/>
                  <w:u w:val="single"/>
                </w:rPr>
                <w:t>37</w:t>
              </w:r>
            </w:hyperlink>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ind w:left="0" w:right="0" w:hanging="10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CANNAE HOLDINGS, INC.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3020"/>
        <w:gridCol w:w="2412"/>
        <w:gridCol w:w="2380"/>
        <w:gridCol w:w="196"/>
        <w:gridCol w:w="691"/>
        <w:gridCol w:w="109"/>
        <w:gridCol w:w="109"/>
        <w:gridCol w:w="109"/>
        <w:gridCol w:w="109"/>
        <w:gridCol w:w="201"/>
        <w:gridCol w:w="710"/>
        <w:gridCol w:w="159"/>
      </w:tblGrid>
      <w:tr>
        <w:trPr/>
        <w:tc>
          <w:tcPr>
            <w:tcW w:w="3020" w:type="dxa"/>
            <w:tcBorders/>
            <w:vAlign w:val="center"/>
          </w:tcPr>
          <w:p>
            <w:pPr>
              <w:pStyle w:val="TableContents"/>
              <w:bidi w:val="0"/>
              <w:spacing w:before="0" w:after="283"/>
              <w:jc w:val="left"/>
              <w:rPr>
                <w:sz w:val="4"/>
                <w:szCs w:val="4"/>
              </w:rPr>
            </w:pPr>
            <w:r>
              <w:rPr>
                <w:sz w:val="4"/>
                <w:szCs w:val="4"/>
              </w:rPr>
            </w:r>
          </w:p>
        </w:tc>
        <w:tc>
          <w:tcPr>
            <w:tcW w:w="2412" w:type="dxa"/>
            <w:tcBorders/>
            <w:vAlign w:val="center"/>
          </w:tcPr>
          <w:p>
            <w:pPr>
              <w:pStyle w:val="TableContents"/>
              <w:bidi w:val="0"/>
              <w:spacing w:before="0" w:after="283"/>
              <w:jc w:val="left"/>
              <w:rPr>
                <w:sz w:val="4"/>
                <w:szCs w:val="4"/>
              </w:rPr>
            </w:pPr>
            <w:r>
              <w:rPr>
                <w:sz w:val="4"/>
                <w:szCs w:val="4"/>
              </w:rPr>
            </w:r>
          </w:p>
        </w:tc>
        <w:tc>
          <w:tcPr>
            <w:tcW w:w="23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7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8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receivable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 held for sale - see Note 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assets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256.5 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in unconsolidated affiliates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643.5 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without a readily determinable fair value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147.3 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securities, at fair value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116.9 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Property and equipment,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asset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intangible assets,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long-term investments and non-current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assets</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1,308.9 </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2"/>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EQUITY</w:t>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Current liabilities:</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 current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current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current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Liabilities held for sale - see Note K</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current liabilities</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129.7 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 long-term</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Notes payable, long-term</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tax liability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and other accrued liabilities, long-term</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w:t>
            </w:r>
          </w:p>
        </w:tc>
        <w:tc>
          <w:tcPr>
            <w:tcW w:w="8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329.8 </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Commitments and contingencies - see Note H</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Cannae common stock, 0.0001 par value; authorized 115,000,000 shares as of June 30, 2026 and December 31, 2025; issued of 95,325,106 and 94,925,400 shares as of June 30, 2026 and December 31, 2025, respectively, and outstanding of 43,366,802 and 46,703,745 shares as of June 30, 2026 and December 31, 2025, respectively</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Preferred stock, 0.0001 par value; authorized 10,000,000 shares; none issued and outstanding as of June 30, 2026 and December 31, 2025</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Retained earnings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11.5 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paid-in capital</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2,040.5 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Less: Treasury stock, 51,958,304 and 48,221,655 shares as of June 30, 2026 and December 31, 2025, respectively, at cost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(1,046.5)</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Accumulated other comprehensive income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Cannae shareholders' equity</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1,012.0 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Noncontrolling interests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equity</w:t>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911.9 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979.1 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8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liabilities and equity</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1,308.9 </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12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 except per share data)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center"/>
        <w:tblInd w:w="0" w:type="dxa"/>
        <w:tblLayout w:type="fixed"/>
        <w:tblCellMar>
          <w:top w:w="28" w:type="dxa"/>
          <w:left w:w="28" w:type="dxa"/>
          <w:bottom w:w="28" w:type="dxa"/>
          <w:right w:w="28" w:type="dxa"/>
        </w:tblCellMar>
      </w:tblPr>
      <w:tblGrid>
        <w:gridCol w:w="2081"/>
        <w:gridCol w:w="1743"/>
        <w:gridCol w:w="1759"/>
        <w:gridCol w:w="208"/>
        <w:gridCol w:w="494"/>
        <w:gridCol w:w="115"/>
        <w:gridCol w:w="115"/>
        <w:gridCol w:w="115"/>
        <w:gridCol w:w="115"/>
        <w:gridCol w:w="208"/>
        <w:gridCol w:w="652"/>
        <w:gridCol w:w="115"/>
        <w:gridCol w:w="109"/>
        <w:gridCol w:w="109"/>
        <w:gridCol w:w="109"/>
        <w:gridCol w:w="196"/>
        <w:gridCol w:w="556"/>
        <w:gridCol w:w="109"/>
        <w:gridCol w:w="109"/>
        <w:gridCol w:w="109"/>
        <w:gridCol w:w="109"/>
        <w:gridCol w:w="196"/>
        <w:gridCol w:w="612"/>
        <w:gridCol w:w="162"/>
      </w:tblGrid>
      <w:tr>
        <w:trPr/>
        <w:tc>
          <w:tcPr>
            <w:tcW w:w="2081" w:type="dxa"/>
            <w:tcBorders/>
            <w:vAlign w:val="center"/>
          </w:tcPr>
          <w:p>
            <w:pPr>
              <w:pStyle w:val="TableContents"/>
              <w:bidi w:val="0"/>
              <w:spacing w:before="0" w:after="283"/>
              <w:jc w:val="left"/>
              <w:rPr>
                <w:sz w:val="4"/>
                <w:szCs w:val="4"/>
              </w:rPr>
            </w:pPr>
            <w:r>
              <w:rPr>
                <w:sz w:val="4"/>
                <w:szCs w:val="4"/>
              </w:rPr>
            </w:r>
          </w:p>
        </w:tc>
        <w:tc>
          <w:tcPr>
            <w:tcW w:w="1743" w:type="dxa"/>
            <w:tcBorders/>
            <w:vAlign w:val="center"/>
          </w:tcPr>
          <w:p>
            <w:pPr>
              <w:pStyle w:val="TableContents"/>
              <w:bidi w:val="0"/>
              <w:spacing w:before="0" w:after="283"/>
              <w:jc w:val="left"/>
              <w:rPr>
                <w:sz w:val="4"/>
                <w:szCs w:val="4"/>
              </w:rPr>
            </w:pPr>
            <w:r>
              <w:rPr>
                <w:sz w:val="4"/>
                <w:szCs w:val="4"/>
              </w:rPr>
            </w:r>
          </w:p>
        </w:tc>
        <w:tc>
          <w:tcPr>
            <w:tcW w:w="175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7"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2137"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revenue</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revenues</w:t>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restaurant revenue</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 costs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including asset impairments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295.7 </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1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investment and other income</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gains (losses), net</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w:t>
            </w:r>
          </w:p>
        </w:tc>
        <w:tc>
          <w:tcPr>
            <w:tcW w:w="70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11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equity in income (losses) of unconsolidated affiliates</w:t>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equity in income (losses) of unconsolidated affiliates</w:t>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income (losses) of unconsolidated affiliates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tax - see Note J</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0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Cannae Holdings, Inc. common shareholders</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Amounts attributable to Cannae Holdings, Inc. common shareholders</w:t>
            </w:r>
          </w:p>
        </w:tc>
        <w:tc>
          <w:tcPr>
            <w:tcW w:w="8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 attributable to Cannae Holdings, Inc. common shareholders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attributable to Cannae Holdings, Inc. common shareholders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Cannae Holdings, Inc. common shareholders</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Earnings per share</w:t>
            </w:r>
          </w:p>
        </w:tc>
        <w:tc>
          <w:tcPr>
            <w:tcW w:w="8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Basic</w:t>
            </w:r>
          </w:p>
        </w:tc>
        <w:tc>
          <w:tcPr>
            <w:tcW w:w="8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 from continuing operations</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from discontinued operations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per share </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Diluted</w:t>
            </w:r>
          </w:p>
        </w:tc>
        <w:tc>
          <w:tcPr>
            <w:tcW w:w="8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Net income (loss) per share from continuing operations </w:t>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per share from discontinued operations</w:t>
            </w:r>
          </w:p>
        </w:tc>
        <w:tc>
          <w:tcPr>
            <w:tcW w:w="7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(1.42)</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per share</w:t>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0.86 </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(3.93)</w:t>
            </w:r>
          </w:p>
        </w:tc>
        <w:tc>
          <w:tcPr>
            <w:tcW w:w="11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(5.72)</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Weighted Average Shares Outstanding</w:t>
            </w:r>
          </w:p>
        </w:tc>
        <w:tc>
          <w:tcPr>
            <w:tcW w:w="81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Cannae Holdings common stock, basic basis</w:t>
            </w:r>
          </w:p>
        </w:tc>
        <w:tc>
          <w:tcPr>
            <w:tcW w:w="7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Weighted average shares outstanding Cannae Holdings common stock, diluted basis</w:t>
            </w:r>
          </w:p>
        </w:tc>
        <w:tc>
          <w:tcPr>
            <w:tcW w:w="70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43.6 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0"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60.8 </w:t>
            </w:r>
          </w:p>
        </w:tc>
        <w:tc>
          <w:tcPr>
            <w:tcW w:w="115"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44.8 </w:t>
            </w:r>
          </w:p>
        </w:tc>
        <w:tc>
          <w:tcPr>
            <w:tcW w:w="109"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8" w:type="dxa"/>
            <w:gridSpan w:val="2"/>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61.5 </w:t>
            </w:r>
          </w:p>
        </w:tc>
        <w:tc>
          <w:tcPr>
            <w:tcW w:w="162" w:type="dxa"/>
            <w:tcBorders>
              <w:top w:val="doub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CONDENSED CONSOLIDATED STATEMENTS OF COMPREHENSIVE EARNINGS (LOSS) </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205" w:type="dxa"/>
        <w:jc w:val="left"/>
        <w:tblInd w:w="0" w:type="dxa"/>
        <w:tblLayout w:type="fixed"/>
        <w:tblCellMar>
          <w:top w:w="28" w:type="dxa"/>
          <w:left w:w="28" w:type="dxa"/>
          <w:bottom w:w="28" w:type="dxa"/>
          <w:right w:w="28" w:type="dxa"/>
        </w:tblCellMar>
      </w:tblPr>
      <w:tblGrid>
        <w:gridCol w:w="2116"/>
        <w:gridCol w:w="1848"/>
        <w:gridCol w:w="1780"/>
        <w:gridCol w:w="206"/>
        <w:gridCol w:w="490"/>
        <w:gridCol w:w="114"/>
        <w:gridCol w:w="114"/>
        <w:gridCol w:w="114"/>
        <w:gridCol w:w="114"/>
        <w:gridCol w:w="206"/>
        <w:gridCol w:w="639"/>
        <w:gridCol w:w="114"/>
        <w:gridCol w:w="109"/>
        <w:gridCol w:w="109"/>
        <w:gridCol w:w="109"/>
        <w:gridCol w:w="196"/>
        <w:gridCol w:w="426"/>
        <w:gridCol w:w="109"/>
        <w:gridCol w:w="109"/>
        <w:gridCol w:w="109"/>
        <w:gridCol w:w="109"/>
        <w:gridCol w:w="196"/>
        <w:gridCol w:w="607"/>
        <w:gridCol w:w="162"/>
      </w:tblGrid>
      <w:tr>
        <w:trPr/>
        <w:tc>
          <w:tcPr>
            <w:tcW w:w="2116" w:type="dxa"/>
            <w:tcBorders/>
            <w:vAlign w:val="center"/>
          </w:tcPr>
          <w:p>
            <w:pPr>
              <w:pStyle w:val="TableContents"/>
              <w:bidi w:val="0"/>
              <w:spacing w:before="0" w:after="283"/>
              <w:jc w:val="left"/>
              <w:rPr>
                <w:sz w:val="4"/>
                <w:szCs w:val="4"/>
              </w:rPr>
            </w:pPr>
            <w:r>
              <w:rPr>
                <w:sz w:val="4"/>
                <w:szCs w:val="4"/>
              </w:rPr>
            </w:r>
          </w:p>
        </w:tc>
        <w:tc>
          <w:tcPr>
            <w:tcW w:w="1848" w:type="dxa"/>
            <w:tcBorders/>
            <w:vAlign w:val="center"/>
          </w:tcPr>
          <w:p>
            <w:pPr>
              <w:pStyle w:val="TableContents"/>
              <w:bidi w:val="0"/>
              <w:spacing w:before="0" w:after="283"/>
              <w:jc w:val="left"/>
              <w:rPr>
                <w:sz w:val="4"/>
                <w:szCs w:val="4"/>
              </w:rPr>
            </w:pPr>
            <w:r>
              <w:rPr>
                <w:sz w:val="4"/>
                <w:szCs w:val="4"/>
              </w:rPr>
            </w:r>
          </w:p>
        </w:tc>
        <w:tc>
          <w:tcPr>
            <w:tcW w:w="1780"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0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earnings (loss), net of tax:</w:t>
            </w:r>
          </w:p>
        </w:tc>
        <w:tc>
          <w:tcPr>
            <w:tcW w:w="8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Unrealized (loss) earnings of investments in unconsolidated affiliates </w:t>
            </w:r>
            <w:r>
              <w:rPr>
                <w:rFonts w:ascii="Times New Roman;serif" w:hAnsi="Times New Roman;serif"/>
                <w:b w:val="false"/>
                <w:color w:val="000000"/>
                <w:sz w:val="12"/>
              </w:rPr>
              <w:t>(1)</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vAlign w:val="center"/>
          </w:tcPr>
          <w:p>
            <w:pPr>
              <w:pStyle w:val="TableContents"/>
              <w:bidi w:val="0"/>
              <w:spacing w:before="0" w:after="283"/>
              <w:jc w:val="left"/>
              <w:rPr>
                <w:sz w:val="4"/>
                <w:szCs w:val="4"/>
              </w:rPr>
            </w:pPr>
            <w:r>
              <w:rPr>
                <w:sz w:val="4"/>
                <w:szCs w:val="4"/>
              </w:rPr>
            </w:r>
          </w:p>
        </w:tc>
        <w:tc>
          <w:tcPr>
            <w:tcW w:w="810"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9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5" w:type="dxa"/>
            <w:gridSpan w:val="3"/>
            <w:tcBorders/>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Reclassification adjustments for unrealized gains and losses of unconsolidated affiliates, net of tax, included in net earnings </w:t>
            </w:r>
            <w:r>
              <w:rPr>
                <w:rFonts w:ascii="Times New Roman;serif" w:hAnsi="Times New Roman;serif"/>
                <w:b w:val="false"/>
                <w:color w:val="000000"/>
                <w:sz w:val="12"/>
              </w:rPr>
              <w:t>(2)</w:t>
            </w:r>
          </w:p>
        </w:tc>
        <w:tc>
          <w:tcPr>
            <w:tcW w:w="6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 earnings</w:t>
            </w:r>
          </w:p>
        </w:tc>
        <w:tc>
          <w:tcPr>
            <w:tcW w:w="69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5.8 </w:t>
            </w:r>
          </w:p>
        </w:tc>
        <w:tc>
          <w:tcPr>
            <w:tcW w:w="11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6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earnings (loss)</w:t>
            </w:r>
          </w:p>
        </w:tc>
        <w:tc>
          <w:tcPr>
            <w:tcW w:w="6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22.4 </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(234.7)</w:t>
            </w:r>
          </w:p>
        </w:tc>
        <w:tc>
          <w:tcPr>
            <w:tcW w:w="11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w:t>
            </w:r>
          </w:p>
        </w:tc>
        <w:tc>
          <w:tcPr>
            <w:tcW w:w="16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Comprehensive loss attributable to noncontrolling interests</w:t>
            </w:r>
          </w:p>
        </w:tc>
        <w:tc>
          <w:tcPr>
            <w:tcW w:w="6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Comprehensive earnings (loss) attributable to Cannae Holdings, Inc. common shareholders</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31.5 </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(233.0)</w:t>
            </w:r>
          </w:p>
        </w:tc>
        <w:tc>
          <w:tcPr>
            <w:tcW w:w="11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0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(348.1)</w:t>
            </w:r>
          </w:p>
        </w:tc>
        <w:tc>
          <w:tcPr>
            <w:tcW w:w="16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_________________________________</w:t>
      </w:r>
    </w:p>
    <w:p>
      <w:pPr>
        <w:pStyle w:val="TextBody"/>
        <w:bidi w:val="0"/>
        <w:spacing w:lineRule="auto" w:line="288" w:before="0" w:after="0"/>
        <w:jc w:val="left"/>
        <w:rPr>
          <w:color w:val="000000"/>
        </w:rPr>
      </w:pPr>
      <w:r>
        <w:rPr>
          <w:color w:val="000000"/>
        </w:rPr>
        <w:t> </w:t>
      </w:r>
    </w:p>
    <w:p>
      <w:pPr>
        <w:pStyle w:val="TextBody"/>
        <w:bidi w:val="0"/>
        <w:spacing w:lineRule="auto" w:line="288" w:before="0" w:after="18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(1)Net of income tax (benefit) expense of $(1.6) million and $0.7 million for the three months ended June 30, 2026 and 2025, respectively, and $(1.7) million and $0.1 million for the six months ended June 30, 2026 and 2025, respectively.</w:t>
      </w:r>
    </w:p>
    <w:p>
      <w:pPr>
        <w:pStyle w:val="TextBody"/>
        <w:bidi w:val="0"/>
        <w:spacing w:lineRule="auto" w:line="288" w:before="0" w:after="0"/>
        <w:ind w:left="0" w:right="0" w:hanging="540"/>
        <w:jc w:val="both"/>
        <w:rPr>
          <w:rFonts w:ascii="Times New Roman;serif" w:hAnsi="Times New Roman;serif"/>
          <w:b w:val="false"/>
          <w:color w:val="000000"/>
          <w:sz w:val="18"/>
        </w:rPr>
      </w:pPr>
      <w:r>
        <w:rPr>
          <w:rFonts w:ascii="Times New Roman;serif" w:hAnsi="Times New Roman;serif"/>
          <w:b w:val="false"/>
          <w:color w:val="000000"/>
          <w:sz w:val="18"/>
        </w:rPr>
        <w:t>(2)Net of income tax expense of $0.8 million and $0.9 million for three and six months ended June 30, 2025, respectively.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See Notes to Condensed Consolidated Financial Statements</w:t>
      </w:r>
    </w:p>
    <w:p>
      <w:pPr>
        <w:pStyle w:val="TextBody"/>
        <w:bidi w:val="0"/>
        <w:spacing w:before="0" w:after="0"/>
        <w:jc w:val="left"/>
        <w:rPr/>
      </w:pPr>
      <w:r>
        <w:rPr/>
      </w:r>
    </w:p>
    <w:p>
      <w:pPr>
        <w:pStyle w:val="TextBody"/>
        <w:bidi w:val="0"/>
        <w:spacing w:before="340" w:after="340"/>
        <w:jc w:val="left"/>
        <w:rPr/>
      </w:pPr>
      <w:r>
        <w:rPr/>
      </w:r>
    </w:p>
    <w:p>
      <w:pPr>
        <w:pStyle w:val="TextBody"/>
        <w:bidi w:val="0"/>
        <w:spacing w:before="36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1936" w:type="dxa"/>
        <w:jc w:val="center"/>
        <w:tblInd w:w="0" w:type="dxa"/>
        <w:tblLayout w:type="fixed"/>
        <w:tblCellMar>
          <w:top w:w="28" w:type="dxa"/>
          <w:left w:w="28" w:type="dxa"/>
          <w:bottom w:w="28" w:type="dxa"/>
          <w:right w:w="28" w:type="dxa"/>
        </w:tblCellMar>
      </w:tblPr>
      <w:tblGrid>
        <w:gridCol w:w="777"/>
        <w:gridCol w:w="276"/>
        <w:gridCol w:w="193"/>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556"/>
        <w:gridCol w:w="109"/>
        <w:gridCol w:w="109"/>
        <w:gridCol w:w="109"/>
        <w:gridCol w:w="109"/>
        <w:gridCol w:w="217"/>
        <w:gridCol w:w="533"/>
        <w:gridCol w:w="121"/>
        <w:gridCol w:w="109"/>
        <w:gridCol w:w="109"/>
        <w:gridCol w:w="109"/>
        <w:gridCol w:w="233"/>
        <w:gridCol w:w="233"/>
        <w:gridCol w:w="196"/>
        <w:gridCol w:w="109"/>
        <w:gridCol w:w="109"/>
        <w:gridCol w:w="109"/>
        <w:gridCol w:w="196"/>
        <w:gridCol w:w="706"/>
        <w:gridCol w:w="109"/>
        <w:gridCol w:w="109"/>
        <w:gridCol w:w="109"/>
        <w:gridCol w:w="109"/>
        <w:gridCol w:w="109"/>
        <w:gridCol w:w="109"/>
        <w:gridCol w:w="265"/>
        <w:gridCol w:w="652"/>
        <w:gridCol w:w="149"/>
        <w:gridCol w:w="109"/>
        <w:gridCol w:w="109"/>
        <w:gridCol w:w="109"/>
        <w:gridCol w:w="196"/>
        <w:gridCol w:w="691"/>
        <w:gridCol w:w="154"/>
      </w:tblGrid>
      <w:tr>
        <w:trPr/>
        <w:tc>
          <w:tcPr>
            <w:tcW w:w="777"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 (Loss)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tcMar>
              <w:top w:w="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4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1,696.7 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earnings (loss) — unrealized gains and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adjustments for unrealized gains and losses on unconsolidated affiliates, net of tax, included in net earnings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repurchases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shares held in trust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activity in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(240.5)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49.7 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(36.5)</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922.4 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earnings (loss) — unrealized gains and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repurchases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for shares withheld for taxes and in treasury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activity in non-controlling interests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1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911.9 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See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EQUITY - CONTINUED</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p>
      <w:pPr>
        <w:pStyle w:val="TextBody"/>
        <w:bidi w:val="0"/>
        <w:spacing w:before="0" w:after="0"/>
        <w:jc w:val="center"/>
        <w:rPr/>
      </w:pPr>
      <w:r>
        <w:rPr/>
      </w:r>
    </w:p>
    <w:tbl>
      <w:tblPr>
        <w:tblW w:w="11718" w:type="dxa"/>
        <w:jc w:val="center"/>
        <w:tblInd w:w="0" w:type="dxa"/>
        <w:tblLayout w:type="fixed"/>
        <w:tblCellMar>
          <w:top w:w="28" w:type="dxa"/>
          <w:left w:w="28" w:type="dxa"/>
          <w:bottom w:w="28" w:type="dxa"/>
          <w:right w:w="28" w:type="dxa"/>
        </w:tblCellMar>
      </w:tblPr>
      <w:tblGrid>
        <w:gridCol w:w="623"/>
        <w:gridCol w:w="430"/>
        <w:gridCol w:w="193"/>
        <w:gridCol w:w="233"/>
        <w:gridCol w:w="233"/>
        <w:gridCol w:w="171"/>
        <w:gridCol w:w="109"/>
        <w:gridCol w:w="109"/>
        <w:gridCol w:w="109"/>
        <w:gridCol w:w="196"/>
        <w:gridCol w:w="406"/>
        <w:gridCol w:w="109"/>
        <w:gridCol w:w="109"/>
        <w:gridCol w:w="109"/>
        <w:gridCol w:w="109"/>
        <w:gridCol w:w="196"/>
        <w:gridCol w:w="691"/>
        <w:gridCol w:w="109"/>
        <w:gridCol w:w="109"/>
        <w:gridCol w:w="109"/>
        <w:gridCol w:w="109"/>
        <w:gridCol w:w="196"/>
        <w:gridCol w:w="556"/>
        <w:gridCol w:w="109"/>
        <w:gridCol w:w="109"/>
        <w:gridCol w:w="109"/>
        <w:gridCol w:w="109"/>
        <w:gridCol w:w="217"/>
        <w:gridCol w:w="533"/>
        <w:gridCol w:w="121"/>
        <w:gridCol w:w="109"/>
        <w:gridCol w:w="109"/>
        <w:gridCol w:w="109"/>
        <w:gridCol w:w="233"/>
        <w:gridCol w:w="233"/>
        <w:gridCol w:w="196"/>
        <w:gridCol w:w="109"/>
        <w:gridCol w:w="109"/>
        <w:gridCol w:w="109"/>
        <w:gridCol w:w="196"/>
        <w:gridCol w:w="706"/>
        <w:gridCol w:w="109"/>
        <w:gridCol w:w="109"/>
        <w:gridCol w:w="109"/>
        <w:gridCol w:w="109"/>
        <w:gridCol w:w="265"/>
        <w:gridCol w:w="652"/>
        <w:gridCol w:w="149"/>
        <w:gridCol w:w="109"/>
        <w:gridCol w:w="109"/>
        <w:gridCol w:w="109"/>
        <w:gridCol w:w="196"/>
        <w:gridCol w:w="691"/>
        <w:gridCol w:w="154"/>
      </w:tblGrid>
      <w:tr>
        <w:trPr/>
        <w:tc>
          <w:tcPr>
            <w:tcW w:w="623"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 Other Comp (Loss) 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Non-controlling</w:t>
              <w:br/>
              <w:t>Interests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0" w:type="dxa"/>
            <w:gridSpan w:val="3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(19.2)</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(21.2)</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earnings (loss) — unrealized gains and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Reclassification adjustments for unrealized gains and losses on unconsolidated affiliates, net of tax, included in net loss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repurchases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(112.3)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and shares held in trust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shares held in trust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for shares withheld for taxes and in treasury</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consolidated subsidiaries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unconsolidated affiliates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activity in non-controlling interests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 June 30, 2025</w:t>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94.7 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2,035.4 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(15.5)</w:t>
            </w:r>
          </w:p>
        </w:tc>
        <w:tc>
          <w:tcPr>
            <w:tcW w:w="12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36.9 </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(838.6)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(24.7)</w:t>
            </w:r>
          </w:p>
        </w:tc>
        <w:tc>
          <w:tcPr>
            <w:tcW w:w="14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1,356.7 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94.9 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(32.9)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Other comprehensive earnings (loss ) — unrealized gains and losses of investments in unconsolidated affiliates, net of tax</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Treasury stock repurchases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3.5 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Issuance of restricted stock and shares held in trust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Vesting of shares held in trust</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Payment for shares withheld for taxes and in treasury</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consolidated subsidiaries</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unconsolidated affiliates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63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Dividends declared</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loss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Balance, June 30, 2026</w:t>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95.3 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2,046.8 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5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5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52.0 </w:t>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(1,092.6)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5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(45.7)</w:t>
            </w:r>
          </w:p>
        </w:tc>
        <w:tc>
          <w:tcPr>
            <w:tcW w:w="14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69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911.9 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 xml:space="preserve">See Notes to Condensed Consolidated Financial Statements </w: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 millions)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(Unaudited)</w:t>
      </w:r>
    </w:p>
    <w:tbl>
      <w:tblPr>
        <w:tblW w:w="10118" w:type="dxa"/>
        <w:jc w:val="center"/>
        <w:tblInd w:w="0" w:type="dxa"/>
        <w:tblLayout w:type="fixed"/>
        <w:tblCellMar>
          <w:top w:w="28" w:type="dxa"/>
          <w:left w:w="28" w:type="dxa"/>
          <w:bottom w:w="28" w:type="dxa"/>
          <w:right w:w="28" w:type="dxa"/>
        </w:tblCellMar>
      </w:tblPr>
      <w:tblGrid>
        <w:gridCol w:w="2912"/>
        <w:gridCol w:w="2554"/>
        <w:gridCol w:w="2573"/>
        <w:gridCol w:w="196"/>
        <w:gridCol w:w="466"/>
        <w:gridCol w:w="109"/>
        <w:gridCol w:w="109"/>
        <w:gridCol w:w="109"/>
        <w:gridCol w:w="109"/>
        <w:gridCol w:w="196"/>
        <w:gridCol w:w="631"/>
        <w:gridCol w:w="154"/>
      </w:tblGrid>
      <w:tr>
        <w:trPr/>
        <w:tc>
          <w:tcPr>
            <w:tcW w:w="2912" w:type="dxa"/>
            <w:tcBorders/>
            <w:vAlign w:val="center"/>
          </w:tcPr>
          <w:p>
            <w:pPr>
              <w:pStyle w:val="TableContents"/>
              <w:bidi w:val="0"/>
              <w:spacing w:before="0" w:after="283"/>
              <w:jc w:val="left"/>
              <w:rPr>
                <w:sz w:val="4"/>
                <w:szCs w:val="4"/>
              </w:rPr>
            </w:pPr>
            <w:r>
              <w:rPr>
                <w:sz w:val="4"/>
                <w:szCs w:val="4"/>
              </w:rPr>
            </w:r>
          </w:p>
        </w:tc>
        <w:tc>
          <w:tcPr>
            <w:tcW w:w="2554" w:type="dxa"/>
            <w:tcBorders/>
            <w:vAlign w:val="center"/>
          </w:tcPr>
          <w:p>
            <w:pPr>
              <w:pStyle w:val="TableContents"/>
              <w:bidi w:val="0"/>
              <w:spacing w:before="0" w:after="283"/>
              <w:jc w:val="left"/>
              <w:rPr>
                <w:sz w:val="4"/>
                <w:szCs w:val="4"/>
              </w:rPr>
            </w:pPr>
            <w:r>
              <w:rPr>
                <w:sz w:val="4"/>
                <w:szCs w:val="4"/>
              </w:rPr>
            </w:r>
          </w:p>
        </w:tc>
        <w:tc>
          <w:tcPr>
            <w:tcW w:w="257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80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loss to net cash used in operating activities: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Depreciation and amortization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Equity in losses of unconsolidated affiliates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Distributions from investments in unconsolidated affiliates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 xml:space="preserve">Recognized (gains) losses and asset impairments, net </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Lease asset amortization</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Stock-based compensation expense</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18"/>
              </w:rPr>
              <w:t>Net loss from discontinued operations - see Note J</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w:t>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Lease liabilities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 accrued liabilities, deferred revenue and other liabilities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operating activities</w:t>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Additions to property and equipment and other intangible assets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sales of property and equipment</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investments in unconsolidated affiliates, equity securities and other long-term investments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Additional investments in unconsolidated affiliates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other long-term investments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Distributions from investments in unconsolidated affiliates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and maturity of short-term investment securities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Consideration transferred for acquisition of Exeter Rugby Group</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investing activities</w:t>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77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Debt service payments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activity in non-controlling interests</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Payment for vested shares withheld for taxes and in treasury</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Treasury stock repurchases</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financing activities</w:t>
            </w:r>
          </w:p>
        </w:tc>
        <w:tc>
          <w:tcPr>
            <w:tcW w:w="66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(129.8)</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decrease in cash and cash equivalents</w:t>
            </w:r>
          </w:p>
        </w:tc>
        <w:tc>
          <w:tcPr>
            <w:tcW w:w="6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classified as held for sale</w:t>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80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beginning of period</w:t>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0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at end of period</w:t>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pPr>
      <w:r>
        <w:rPr>
          <w:rFonts w:ascii="Times New Roman;serif" w:hAnsi="Times New Roman;serif"/>
          <w:b w:val="false"/>
          <w:color w:val="000000"/>
          <w:sz w:val="16"/>
        </w:rPr>
        <w:t>S</w:t>
      </w:r>
      <w:r>
        <w:rPr>
          <w:rFonts w:ascii="Times New Roman;serif" w:hAnsi="Times New Roman;serif"/>
          <w:b w:val="false"/>
          <w:color w:val="000000"/>
          <w:sz w:val="18"/>
        </w:rPr>
        <w:t xml:space="preserve">ee Notes to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(UNAUDITED)</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Note A — Basis of Financial Statements</w:t>
      </w:r>
    </w:p>
    <w:p>
      <w:pPr>
        <w:pStyle w:val="TextBody"/>
        <w:bidi w:val="0"/>
        <w:spacing w:lineRule="auto" w:line="276"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The following describes the significant accounting policies of Cannae Holdings, Inc. and its subsidiaries (collectively, "we," "us," "our," "Cannae," "CNNE," or the "Company"), which have been followed in preparing the accompanying Condensed Consolidated Financial Statements. </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Description of the Business</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We primarily acquire interests in operating companies and are engaged in actively managing and operating a core group of those companies, which we are committed to supporting for the long term. From time to time, we also seek to take meaningful equity ownership stakes where we have the ability to control or significantly influence quality companies, and we bring the strength of our operational expertise to each of our subsidiaries. We are a long-term owner that secures control and governance rights of other companies primarily to engage in their lines of business, and we have no preset time constraints dictating when we sell or dispose of our businesses. We believe that our long-term ownership and active involvement in the management and operations of companies helps maximize the value of those businesses for our shareholders. Our primary assets as of June 30, 2026 include our ownership interests in Alight, Inc. ("Alight"); Black Knight Football Club US, LP ("Black Knight Football" or "BKFC"); JANA Partners Capital, LLC, JANA Partners Management, LP and JANA Partners Management GP, LLC (together, "JANA" or "JANA Partners"); </w:t>
      </w:r>
      <w:r>
        <w:rPr>
          <w:rFonts w:ascii="Times New Roman;serif" w:hAnsi="Times New Roman;serif"/>
          <w:b w:val="false"/>
          <w:color w:val="000000"/>
          <w:sz w:val="20"/>
          <w:shd w:fill="FFFFFF" w:val="clear"/>
        </w:rPr>
        <w:t xml:space="preserve">Space Exploration Technologies Corp. ("SpaceX"); </w:t>
      </w:r>
      <w:r>
        <w:rPr>
          <w:rFonts w:ascii="Times New Roman;serif" w:hAnsi="Times New Roman;serif"/>
          <w:b w:val="false"/>
          <w:color w:val="000000"/>
          <w:sz w:val="20"/>
        </w:rPr>
        <w:t xml:space="preserve">Computer Services, Inc. ("CSI"); Watkins Holdings, LLC ("Watkins"); JANA Strategic Investments Benchmark Fund ("JANA Fund"); Exeter Rugby Group ("Exeter" or "ERG"), High Sierra Distillery, LP ("Minden Mill"); AmeriLife Group, LLC ("AmeriLife"); O'Charley's Holdings, LLC ("O'Charley's"); 99 Restaurants Holdings, LLC ("99 Restaurants"); and various other controlled subsidiary companies and minority equity ownership interests.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See Note E - </w:t>
      </w:r>
      <w:r>
        <w:rPr>
          <w:rFonts w:ascii="Times New Roman;serif" w:hAnsi="Times New Roman;serif"/>
          <w:b w:val="false"/>
          <w:i/>
          <w:color w:val="000000"/>
          <w:sz w:val="20"/>
        </w:rPr>
        <w:t>Segment Information</w:t>
      </w:r>
      <w:r>
        <w:rPr>
          <w:color w:val="000000"/>
        </w:rPr>
        <w:t> </w:t>
      </w:r>
      <w:r>
        <w:rPr>
          <w:rFonts w:ascii="Times New Roman;serif" w:hAnsi="Times New Roman;serif"/>
          <w:b w:val="false"/>
          <w:color w:val="000000"/>
          <w:sz w:val="20"/>
        </w:rPr>
        <w:t>for further discussion of the businesses comprising our reportable segments.</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Principles of Consolidation and Basis of Presentation</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The accompanying Condensed Consolidated Financial Statements are prepared in accordance with generally accepted accounting principles in the United States ("GAAP") </w:t>
      </w:r>
      <w:r>
        <w:rPr>
          <w:rFonts w:ascii="Times New Roman;serif" w:hAnsi="Times New Roman;serif"/>
          <w:b w:val="false"/>
          <w:color w:val="000000"/>
          <w:sz w:val="20"/>
          <w:shd w:fill="FFFFFF" w:val="clear"/>
        </w:rPr>
        <w:t>and the instructions to Form 10-Q and Article 10 of Regulation S-X</w:t>
      </w:r>
      <w:r>
        <w:rPr>
          <w:color w:val="000000"/>
        </w:rPr>
        <w:t xml:space="preserve"> </w:t>
      </w:r>
      <w:r>
        <w:rPr>
          <w:rFonts w:ascii="Times New Roman;serif" w:hAnsi="Times New Roman;serif"/>
          <w:b w:val="false"/>
          <w:color w:val="000000"/>
          <w:sz w:val="20"/>
        </w:rPr>
        <w:t>and include the historical accounts as well as wholly-owned and majority-owned subsidiaries of the Company. In the opinion of management, all adjustments considered necessary for a fair presentation have been included. All adjustments made were of a normal, recurring nature. This report should be read in conjunction with our Annual Report on Form 10-K (our "Annual Report") for the year ended December 31, 2025.</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intercompany profits, transactions and balances have been eliminated. Our ownership interests in non-majority-owned partnerships and affiliates are accounted for under the equity method of accounting or as equity securities. Earnings attributable to noncontrolling interests recorded on the Condensed Consolidated Statements of Operations represents the portion of our majority-owned subsidiaries' net earnings or loss that is owned by noncontrolling shareholders of such subsidiaries. Noncontrolling interest recorded on the Condensed Consolidated Balance Sheets represents the portion of equity owned by noncontrolling shareholders in our consolidated subsidiaries.</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Management Estimates</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The preparation of these Condensed Consolidated Financial Statements in conformity with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Significant estimates made by management include the fair value measurements in accounting for certain equity investments (Note B -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 xml:space="preserve">and Note C - </w:t>
      </w:r>
      <w:r>
        <w:rPr>
          <w:rFonts w:ascii="Times New Roman;serif" w:hAnsi="Times New Roman;serif"/>
          <w:b w:val="false"/>
          <w:i/>
          <w:color w:val="000000"/>
          <w:sz w:val="20"/>
        </w:rPr>
        <w:t>Fair Value Measurements</w:t>
      </w:r>
      <w:r>
        <w:rPr>
          <w:rFonts w:ascii="Times New Roman;serif" w:hAnsi="Times New Roman;serif"/>
          <w:b w:val="false"/>
          <w:color w:val="000000"/>
          <w:sz w:val="20"/>
        </w:rPr>
        <w:t xml:space="preserve">), and the valuation allowance recorded on our federal net operating loss ("NOL") carryforwards, state net operating loss carryforwards, and certain deferred taxes related to our investments (see information below under the heading </w:t>
      </w:r>
      <w:r>
        <w:rPr>
          <w:rFonts w:ascii="Times New Roman;serif" w:hAnsi="Times New Roman;serif"/>
          <w:b w:val="false"/>
          <w:i/>
          <w:color w:val="000000"/>
          <w:sz w:val="20"/>
        </w:rPr>
        <w:t>Income Taxes</w:t>
      </w:r>
      <w:r>
        <w:rPr>
          <w:color w:val="000000"/>
        </w:rPr>
        <w:t xml:space="preserve"> </w:t>
      </w:r>
      <w:r>
        <w:rPr>
          <w:rFonts w:ascii="Times New Roman;serif" w:hAnsi="Times New Roman;serif"/>
          <w:b w:val="false"/>
          <w:color w:val="000000"/>
          <w:sz w:val="20"/>
        </w:rPr>
        <w:t>for further information). Actual results could differ from estimates.</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Recent Developments</w:t>
      </w:r>
    </w:p>
    <w:p>
      <w:pPr>
        <w:pStyle w:val="TextBody"/>
        <w:bidi w:val="0"/>
        <w:spacing w:lineRule="auto" w:line="276"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Black Knight Football</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January 2026, BKFC purchased the remaining 60% equity interest in FC Lorient ("FCL") for total consideration of $70.3 million including cash of $40.7 million and stock of BKFC of $29.6 million and BKFC now holds a 100% ownership interest in the club. During the six months ended June 30, 2026, the Company invested $14.6 million in BKFC. As of June 30, 2026, we held a 42.4% ownership interest in BKFC.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See Note B -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for further discussion of our accounting for our ownership interest in BKFC and other equity method investments.</w:t>
      </w:r>
    </w:p>
    <w:p>
      <w:pPr>
        <w:pStyle w:val="TextBody"/>
        <w:bidi w:val="0"/>
        <w:spacing w:lineRule="auto" w:line="276"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Exeter Rugby</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29, 2026, Cannae, through its newly formed subsidiary Black Knight Rugby, LLC ("Black Knight Rugby" or "BKR"), acquired 100% of the ownership interests in Exeter (the "Exeter Acquisition"), a professional rugby club based in England which competes in the top division of the English rugby union system.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See Note L - </w:t>
      </w:r>
      <w:r>
        <w:rPr>
          <w:rFonts w:ascii="Times New Roman;serif" w:hAnsi="Times New Roman;serif"/>
          <w:b w:val="false"/>
          <w:i/>
          <w:color w:val="000000"/>
          <w:sz w:val="20"/>
        </w:rPr>
        <w:t>Acquisitions</w:t>
      </w:r>
      <w:r>
        <w:rPr>
          <w:color w:val="000000"/>
        </w:rPr>
        <w:t xml:space="preserve"> </w:t>
      </w:r>
      <w:r>
        <w:rPr>
          <w:rFonts w:ascii="Times New Roman;serif" w:hAnsi="Times New Roman;serif"/>
          <w:b w:val="false"/>
          <w:color w:val="000000"/>
          <w:sz w:val="20"/>
        </w:rPr>
        <w:t>for further discussion of our accounting for the Exeter Acquisition.</w:t>
      </w:r>
    </w:p>
    <w:p>
      <w:pPr>
        <w:pStyle w:val="TextBody"/>
        <w:bidi w:val="0"/>
        <w:spacing w:lineRule="auto" w:line="276"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Brasada Ranch</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Cannae closed on the sale of its 87% equity interest in Brasada Ranch to a company owned by William P. Foley, II ("Mr. Foley") for $20.7 million (the "Brasada Sale"). The Brasada Sale represents an estimated enterprise value for Brasada of approximately $40 million, including the assumption of approximately $17 million of debt on the property by the buyer. As a result of the Brasada Sale, the assets and liabilities of Brasada are presented as held for sale on our Condensed Consolidated Balance Sheet as of June 30, 2026.</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sales price of the Brasada Sale was satisfied in exchange for the termination of the Put Right (as defined below). In connection therewith, the Company entered into a letter agreement (the "Letter Agreement") with Mr. Foley dated July 15, 2026 that amends the Director Services Agreement by and between the Company and Mr. Foley dated May 12, 2025 (the "DSA") to delete the portion of the DSA which permitted Mr. Foley to exercise the Put Right.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Brasada Sale was reviewed and unanimously approved by Cannae’s Related Person Transaction Committee, as well as by Cannae’s Board of Directors, and Mr. Foley did not participate in the Board’s deliberations and did not vote on the Brasada Sale.</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See </w:t>
      </w:r>
      <w:r>
        <w:rPr>
          <w:rFonts w:ascii="Times New Roman;serif" w:hAnsi="Times New Roman;serif"/>
          <w:b w:val="false"/>
          <w:i/>
          <w:color w:val="000000"/>
          <w:sz w:val="20"/>
        </w:rPr>
        <w:t>Put Right</w:t>
      </w:r>
      <w:r>
        <w:rPr>
          <w:color w:val="000000"/>
        </w:rPr>
        <w:t xml:space="preserve"> </w:t>
      </w:r>
      <w:r>
        <w:rPr>
          <w:rFonts w:ascii="Times New Roman;serif" w:hAnsi="Times New Roman;serif"/>
          <w:b w:val="false"/>
          <w:color w:val="000000"/>
          <w:sz w:val="20"/>
        </w:rPr>
        <w:t xml:space="preserve">section below and Note C -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further discussion of the fair value of the Put Right and Note K -</w:t>
      </w:r>
      <w:r>
        <w:rPr>
          <w:color w:val="000000"/>
        </w:rPr>
        <w:t xml:space="preserve"> </w:t>
      </w:r>
      <w:r>
        <w:rPr>
          <w:rFonts w:ascii="Times New Roman;serif" w:hAnsi="Times New Roman;serif"/>
          <w:b w:val="false"/>
          <w:i/>
          <w:color w:val="000000"/>
          <w:sz w:val="20"/>
        </w:rPr>
        <w:t xml:space="preserve">Assets Held for Sale </w:t>
      </w:r>
      <w:r>
        <w:rPr>
          <w:rFonts w:ascii="Times New Roman;serif" w:hAnsi="Times New Roman;serif"/>
          <w:b w:val="false"/>
          <w:color w:val="000000"/>
          <w:sz w:val="20"/>
        </w:rPr>
        <w:t>for further discussion of accounting for the Brasada Sale.</w:t>
      </w:r>
    </w:p>
    <w:p>
      <w:pPr>
        <w:pStyle w:val="TextBody"/>
        <w:bidi w:val="0"/>
        <w:spacing w:lineRule="auto" w:line="276"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Watkins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30, 2026, Cannae completed the sale of its 49.3% ownership interest in Watkins to KDSA Investment Partners for $90.0 million in cash proceeds.</w:t>
      </w:r>
    </w:p>
    <w:p>
      <w:pPr>
        <w:pStyle w:val="TextBody"/>
        <w:bidi w:val="0"/>
        <w:spacing w:lineRule="auto" w:line="276"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Other Developments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6, 2026, Cannae Funding A, LLC ("Cannae Funding A"), an indirect wholly owned special purpose subsidiary of the Company, prepaid in full all outstanding obligations under the Margin Loan Agreement, dated as of November 30, 2020 (as amended, the "Margin Loan Agreement") and terminated its revolving loan facility with Bank of America which was secured by shares of Alight common stock. There was no outstanding principal or interest advances under the Margin Loan Agreement as of the pay-off date.</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24, 2025, our Board authorized a new stock repurchase program (the "2025 Repurchase Program"), under which the Company may repurchase up to 10.0 million shares of its common stock. Such repurchases may be made from time to time in the open market at prevailing prices or in privately negotiated transactions. The 2025 Repurchase Program does not obligate us to acquire any specific number of shares and may be suspended or terminated at any time. The 2025 Repurchase Program does not supersede or impact the repurchase capacity under the prior authorizations. During the three months ended June 30, 2026, we repurchased a total of 2,242,500 shares of Cannae common stock for approximately $29.1 million in the aggregate, or an average of $12.99 per share under the 2025 Repurchase program. During the six months ended June 30, 2026, we repurchased a total of 3,427,500 shares of Cannae common stock for approximately $44.3 million in the aggregate, or an average of $12.94 per share under the 2025 Repurchase program. Since the original commencement of the 2025 Repurchase Program through market close on August 7, 2026, we have repurchased a total of 8,128,413 shares of Cannae common stock for approximately $124.9 million in the aggregate, or an average of $15.36 per share. As of the date of this Quarterly Report, there are 1,871,587 shares available for repurchase under the 2025 Repurchase Program.</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2026, our Board authorized a new stock repurchase program (the "2026 Repurchase Program"), under which the Company may repurchase up to 10.0 million shares of its common stock. Such repurchases may be made from time to time in the open market at prevailing prices or in privately negotiated transactions. The 2026 Repurchase Program does not obligate us to acquire any specific number of shares and may be suspended or terminated at any time. The 2026 Repurchase Program does not supersede or impact the repurchase capacity under the prior authorizations. We have not made any purchases under the 2026 Repurchase Program. As of the date of this Quarterly Report, there are 10.0 million shares available for repurchase under the 2026 Repurchase Program.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dividends were declared by our Board in 2026:</w:t>
      </w:r>
    </w:p>
    <w:tbl>
      <w:tblPr>
        <w:tblW w:w="7907" w:type="dxa"/>
        <w:jc w:val="left"/>
        <w:tblInd w:w="0" w:type="dxa"/>
        <w:tblLayout w:type="fixed"/>
        <w:tblCellMar>
          <w:top w:w="28" w:type="dxa"/>
          <w:left w:w="28" w:type="dxa"/>
          <w:bottom w:w="28" w:type="dxa"/>
          <w:right w:w="28" w:type="dxa"/>
        </w:tblCellMar>
      </w:tblPr>
      <w:tblGrid>
        <w:gridCol w:w="581"/>
        <w:gridCol w:w="510"/>
        <w:gridCol w:w="513"/>
        <w:gridCol w:w="109"/>
        <w:gridCol w:w="109"/>
        <w:gridCol w:w="109"/>
        <w:gridCol w:w="574"/>
        <w:gridCol w:w="574"/>
        <w:gridCol w:w="576"/>
        <w:gridCol w:w="109"/>
        <w:gridCol w:w="109"/>
        <w:gridCol w:w="109"/>
        <w:gridCol w:w="574"/>
        <w:gridCol w:w="574"/>
        <w:gridCol w:w="576"/>
        <w:gridCol w:w="109"/>
        <w:gridCol w:w="109"/>
        <w:gridCol w:w="109"/>
        <w:gridCol w:w="548"/>
        <w:gridCol w:w="548"/>
        <w:gridCol w:w="778"/>
      </w:tblGrid>
      <w:tr>
        <w:trPr/>
        <w:tc>
          <w:tcPr>
            <w:tcW w:w="58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r>
      <w:tr>
        <w:trPr/>
        <w:tc>
          <w:tcPr>
            <w:tcW w:w="16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Declaration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Record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Dividends Per Share</w:t>
            </w:r>
          </w:p>
        </w:tc>
      </w:tr>
      <w:tr>
        <w:trPr/>
        <w:tc>
          <w:tcPr>
            <w:tcW w:w="160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23,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17,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r>
      <w:tr>
        <w:trPr/>
        <w:tc>
          <w:tcPr>
            <w:tcW w:w="16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May 7,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16,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r>
      <w:tr>
        <w:trPr/>
        <w:tc>
          <w:tcPr>
            <w:tcW w:w="16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16,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$0.15</w:t>
            </w:r>
          </w:p>
        </w:tc>
      </w:tr>
      <w:tr>
        <w:trPr/>
        <w:tc>
          <w:tcPr>
            <w:tcW w:w="16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7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Related Party Transactions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we did not record any management fee and termination fee expenses with Trasimene Capital Management, LLC ("Former Manager"). The Company's agreement with our Former Manager was terminated in May 2025 and all expenses for the termination were recorded in 2025. The Company paid the Former Manager $11.4 million in the six months ended June 30, 2026 associated with the termination.</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and six months ended June 30, 2025, we incurred management fee expenses with our Former Manager of $17.1 million and $19.0 million, respectively, and termination fee expenses with our Former Manager of $8.3 million and $9.9 million, respectively. These expenses are recorded in Other operating expenses on our Condensed Consolidated Statement of Operations. </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Earnings Per Share</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Basic earnings per share, as presented on the Condensed Consolidated Statement of Operations, is computed by dividing net earnings available to common shareholders by the weighted average number of common shares outstanding during the period.</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periods when earnings are positive, diluted earnings per share is calculated by dividing net earnings available to common shareholders by the weighted average number of common shares outstanding plus the impact of assumed conversions of potentially dilutive securities. For periods when we recognize a net loss, diluted loss per share is equal to basic loss per share as the impact of assumed conversions of potentially dilutive securities is considered to be antidilutive. We have granted certain shares of restricted stock and restricted stock units that have been treated as common share equivalents for purposes of calculating diluted earnings per share for periods in which positive earnings have been reported.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Instruments that provide the ability to purchase shares of our common stock that are antidilutive are excluded from the computation of diluted earnings per share. For the three and six months ended June 30, 2026, there were no antidilutive shares of restricted stock outstanding which were excluded from the calculation of diluted earnings per share. For the three and six months ended June 30, 2025, shares of restricted stock outstanding were excluded from the calculation of diluted earnings per share as inclusion of restricted stock would be antidilutive due to net losses.</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Put Right</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12, 2025, we entered into the DSA with Mr. Foley which included a provision for Cannae to repurchase half of the common stock beneficially owned by Mr. Foley at the greater of $19.50 per share of common stock or 20% in excess of the trading price of our common stock at the time such shares are sold back to the Company (the "Put Right"). The Put Right could have been exercised at the option of Mr. Foley beginning January 1, 2026. As of June 30, 2026 there were 2,421,174 shares of the Company's common stock that were subject to the Put Right which represented 50% of the shares held by Mr. Foley. Based on the price of the Company's common stock as of June 30, 2026, the gross amount that could have been paid to settle the Put Right and repurchase the underlying common stock was $47.2 million.</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Brasada Sale, the Put Right was terminated effective July 15, 2026, by amending the DSA pursuant to the Letter Agreement.</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Prior to the termination of the Put Right, the Company accounted for the Put Right as a liability at fair value in accordance with the guidance in Accounting Standards Codification ("ASC") 480 and ASC 815. The liability for the Put Right is included in Accounts payable and other accrued liabilities, current on our Condensed Consolidated Balance Sheets as of June 30, 2026. The initial measurement and subsequent changes in fair value of the Put Right are recorded in Recognized losses, net in our Condensed Consolidated Statements of Operations for the three and six month period ended June 30, 2026.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See Note C - </w:t>
      </w:r>
      <w:r>
        <w:rPr>
          <w:rFonts w:ascii="Times New Roman;serif" w:hAnsi="Times New Roman;serif"/>
          <w:b w:val="false"/>
          <w:i/>
          <w:color w:val="000000"/>
          <w:sz w:val="20"/>
        </w:rPr>
        <w:t>Fair Value Measurements</w:t>
      </w:r>
      <w:r>
        <w:rPr>
          <w:color w:val="000000"/>
        </w:rPr>
        <w:t xml:space="preserve"> </w:t>
      </w:r>
      <w:r>
        <w:rPr>
          <w:rFonts w:ascii="Times New Roman;serif" w:hAnsi="Times New Roman;serif"/>
          <w:b w:val="false"/>
          <w:color w:val="000000"/>
          <w:sz w:val="20"/>
        </w:rPr>
        <w:t>for further discussion of the fair value of the Put Right.</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Goodwill</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in connection with the Company's ongoing evaluation of strategic alternatives for the Restaurant Group as well as management's review of the reporting unit's operating results and future cash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flow projections, the Company determined that it was more likely than not that the fair value of its 99 Restaurants reporting unit was less than its carrying value.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the Company performed a quantitative goodwill impairment test as of June 30, 2026 in accordance with ASC 350. Using a market approach, we determined the estimated fair value of our 99 Restaurants reporting unit was $38.0 million as of June 30, 2026. The estimated fair value of $38.0 million was compared to the reporting unit's carrying amount of $70.1 million, resulting in an excess of carrying amount over fair value. As a result, the Company recognized a goodwill impairment loss of $32.1 million during the three months ended June 30, 2026, which is reflected within Goodwill impairment in the Condensed Consolidated Statements of Operations. Following the impairment, the goodwill balance associated with the 99 Restaurants reporting unit, which is included in the Company's Restaurant Group segment, was reduced from $53.4 million to $21.3 million.</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Income Taxes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Our effective tax rate was 6.0% and 1.3% in the three months ended June 30, 2026 and 2025, respectively, and (183.3)% and (12.1)% in the six months ended June 30, 2026 and 2025. The change in the effective tax rate in the six-month period ended June 30, 2026 compared to the corresponding prior year period was primarily attributable to recording a valuation allowance in the prior year period of $84.8 million and the varying impact of equity in losses of unconsolidated affiliates on income tax expense (benefit). </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Recent Accounting Pronouncements</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In January 2025, the FASB issued ASU 2024-03, </w:t>
      </w:r>
      <w:r>
        <w:rPr>
          <w:rFonts w:ascii="Times New Roman;serif" w:hAnsi="Times New Roman;serif"/>
          <w:b w:val="false"/>
          <w:i/>
          <w:color w:val="000000"/>
          <w:sz w:val="20"/>
        </w:rPr>
        <w:t>Income Statement—Reporting Comprehensive Income—Expense Disaggregation Disclosures (Subtopic 220-40)</w:t>
      </w:r>
      <w:r>
        <w:rPr>
          <w:rFonts w:ascii="Times New Roman;serif" w:hAnsi="Times New Roman;serif"/>
          <w:b w:val="false"/>
          <w:color w:val="000000"/>
          <w:sz w:val="20"/>
        </w:rPr>
        <w:t>, which requires public business entities to disaggregate specific expenses in a tabular presentation. This includes purchases of inventory, employee compensation, depreciation, and other relevant expense captions on the face of the income statement. For public business entities, the amendments are effective for fiscal years beginning after December 15, 2026 and interim periods within fiscal years beginning after December 15, 2027. The guidance is to be applied on a prospective basis, though retrospective application is permitted. We do not expect the adoption of this authoritative guidance to have a material impact on our consolidated financial statements.</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Immaterial Revision of Prior Period Financial Statements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preparation of our Condensed Consolidated Financial Statements for the quarter ended March 31, 2026, we identified an error in the Company’s previously issued consolidated financial statements as of and for the year ended December 31, 2025. The error relates to the Company’s income tax receivable and was primarily the result of an incorrect treatment of certain business tax credits utilized in prior year tax returns which were reflected in the current income tax receivable rather than deferred tax assets.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Management evaluated the materiality of the error on a qualitative and quantitative basis in accordance with SEC Staff Accounting Bulletin No. 99,</w:t>
      </w:r>
      <w:r>
        <w:rPr>
          <w:color w:val="000000"/>
        </w:rPr>
        <w:t xml:space="preserve"> </w:t>
      </w:r>
      <w:r>
        <w:rPr>
          <w:rFonts w:ascii="Times New Roman;serif" w:hAnsi="Times New Roman;serif"/>
          <w:b w:val="false"/>
          <w:i/>
          <w:color w:val="000000"/>
          <w:sz w:val="20"/>
        </w:rPr>
        <w:t>Materiality</w:t>
      </w:r>
      <w:r>
        <w:rPr>
          <w:rFonts w:ascii="Times New Roman;serif" w:hAnsi="Times New Roman;serif"/>
          <w:b w:val="false"/>
          <w:color w:val="000000"/>
          <w:sz w:val="20"/>
        </w:rPr>
        <w:t>, codified in ASC</w:t>
      </w:r>
      <w:r>
        <w:rPr>
          <w:color w:val="000000"/>
        </w:rPr>
        <w:t xml:space="preserve"> </w:t>
      </w:r>
      <w:r>
        <w:rPr>
          <w:rFonts w:ascii="Times New Roman;serif" w:hAnsi="Times New Roman;serif"/>
          <w:b w:val="false"/>
          <w:color w:val="000000"/>
          <w:sz w:val="20"/>
        </w:rPr>
        <w:t>250,</w:t>
      </w:r>
      <w:r>
        <w:rPr>
          <w:color w:val="000000"/>
        </w:rPr>
        <w:t xml:space="preserve"> </w:t>
      </w:r>
      <w:r>
        <w:rPr>
          <w:rFonts w:ascii="Times New Roman;serif" w:hAnsi="Times New Roman;serif"/>
          <w:b w:val="false"/>
          <w:i/>
          <w:color w:val="000000"/>
          <w:sz w:val="20"/>
        </w:rPr>
        <w:t>Accounting Changes and Error Corrections</w:t>
      </w:r>
      <w:r>
        <w:rPr>
          <w:rFonts w:ascii="Times New Roman;serif" w:hAnsi="Times New Roman;serif"/>
          <w:b w:val="false"/>
          <w:color w:val="000000"/>
          <w:sz w:val="20"/>
        </w:rPr>
        <w:t>. Based on this assessment, the Company concluded that the error is not material and did not result in a material misstatement to its previously issued consolidated financial statements as of and for the year ended December 31, 2025. However, correcting the cumulative effect of this error in the first quarter of 2026 would have had a material effect on the results of operations for that period. Therefore, the relevant prior periods’ financial statements and related footnotes, for this error for comparative purposes, have been corrected. Previously reported financial information for this immaterial error will be corrected in future filings, as applicable.</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summary of the corrections to the impacted financial statement line items in the Company’s previously issued Consolidated Statements of Operations, Comprehensive Operations, and Equity as of and for the year ended December 31, 2025 is provided below. The corrections did not result in any changes to the Company’s total consolidated cash flows from operations, investing or financing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tbl>
      <w:tblPr>
        <w:tblW w:w="9730" w:type="dxa"/>
        <w:jc w:val="left"/>
        <w:tblInd w:w="0" w:type="dxa"/>
        <w:tblLayout w:type="fixed"/>
        <w:tblCellMar>
          <w:top w:w="28" w:type="dxa"/>
          <w:left w:w="28" w:type="dxa"/>
          <w:bottom w:w="28" w:type="dxa"/>
          <w:right w:w="28" w:type="dxa"/>
        </w:tblCellMar>
      </w:tblPr>
      <w:tblGrid>
        <w:gridCol w:w="2039"/>
        <w:gridCol w:w="1789"/>
        <w:gridCol w:w="1797"/>
        <w:gridCol w:w="109"/>
        <w:gridCol w:w="109"/>
        <w:gridCol w:w="109"/>
        <w:gridCol w:w="234"/>
        <w:gridCol w:w="650"/>
        <w:gridCol w:w="120"/>
        <w:gridCol w:w="116"/>
        <w:gridCol w:w="116"/>
        <w:gridCol w:w="116"/>
        <w:gridCol w:w="226"/>
        <w:gridCol w:w="627"/>
        <w:gridCol w:w="116"/>
        <w:gridCol w:w="116"/>
        <w:gridCol w:w="116"/>
        <w:gridCol w:w="116"/>
        <w:gridCol w:w="246"/>
        <w:gridCol w:w="684"/>
        <w:gridCol w:w="179"/>
      </w:tblGrid>
      <w:tr>
        <w:trPr/>
        <w:tc>
          <w:tcPr>
            <w:tcW w:w="2039"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1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2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As of and for the year ended December 31, 2025</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Reported</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Correction</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 Corrected</w:t>
            </w:r>
          </w:p>
        </w:tc>
      </w:tr>
      <w:tr>
        <w:trPr/>
        <w:tc>
          <w:tcPr>
            <w:tcW w:w="5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8"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Sheet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1,308.9 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990.9 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979.1 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Statement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(524.9)</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(536.7)</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Cannae Holdings, Inc. common shareholders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(9.29)</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B — Investments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Investments in Unconsolidated Affiliates</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Investments in unconsolidated affiliates recorded using the equity method of accounting as of June 30, 2026 and December 31, 2025, consisted of the following:</w:t>
      </w:r>
    </w:p>
    <w:tbl>
      <w:tblPr>
        <w:tblW w:w="6758" w:type="dxa"/>
        <w:jc w:val="left"/>
        <w:tblInd w:w="0" w:type="dxa"/>
        <w:tblLayout w:type="fixed"/>
        <w:tblCellMar>
          <w:top w:w="28" w:type="dxa"/>
          <w:left w:w="28" w:type="dxa"/>
          <w:bottom w:w="28" w:type="dxa"/>
          <w:right w:w="28" w:type="dxa"/>
        </w:tblCellMar>
      </w:tblPr>
      <w:tblGrid>
        <w:gridCol w:w="465"/>
        <w:gridCol w:w="411"/>
        <w:gridCol w:w="414"/>
        <w:gridCol w:w="477"/>
        <w:gridCol w:w="477"/>
        <w:gridCol w:w="1191"/>
        <w:gridCol w:w="109"/>
        <w:gridCol w:w="109"/>
        <w:gridCol w:w="109"/>
        <w:gridCol w:w="253"/>
        <w:gridCol w:w="741"/>
        <w:gridCol w:w="131"/>
        <w:gridCol w:w="109"/>
        <w:gridCol w:w="109"/>
        <w:gridCol w:w="109"/>
        <w:gridCol w:w="332"/>
        <w:gridCol w:w="970"/>
        <w:gridCol w:w="242"/>
      </w:tblGrid>
      <w:tr>
        <w:trPr/>
        <w:tc>
          <w:tcPr>
            <w:tcW w:w="4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1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4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Ownership at 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BKFC</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42.4 </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147.3 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Partners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CSI</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6.4 </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Watkins</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49.3 </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w:t>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1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Fund</w:t>
            </w:r>
          </w:p>
        </w:tc>
        <w:tc>
          <w:tcPr>
            <w:tcW w:w="9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1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21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various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637.6 </w:t>
            </w:r>
          </w:p>
        </w:tc>
        <w:tc>
          <w:tcPr>
            <w:tcW w:w="1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643.5 </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Equity in earnings (losses) of unconsolidated affiliates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2026 and 2025, consisted of the following:</w:t>
      </w:r>
    </w:p>
    <w:tbl>
      <w:tblPr>
        <w:tblW w:w="5957" w:type="dxa"/>
        <w:jc w:val="left"/>
        <w:tblInd w:w="0" w:type="dxa"/>
        <w:tblLayout w:type="fixed"/>
        <w:tblCellMar>
          <w:top w:w="28" w:type="dxa"/>
          <w:left w:w="28" w:type="dxa"/>
          <w:bottom w:w="28" w:type="dxa"/>
          <w:right w:w="28" w:type="dxa"/>
        </w:tblCellMar>
      </w:tblPr>
      <w:tblGrid>
        <w:gridCol w:w="465"/>
        <w:gridCol w:w="411"/>
        <w:gridCol w:w="414"/>
        <w:gridCol w:w="231"/>
        <w:gridCol w:w="561"/>
        <w:gridCol w:w="119"/>
        <w:gridCol w:w="119"/>
        <w:gridCol w:w="119"/>
        <w:gridCol w:w="119"/>
        <w:gridCol w:w="231"/>
        <w:gridCol w:w="643"/>
        <w:gridCol w:w="119"/>
        <w:gridCol w:w="109"/>
        <w:gridCol w:w="109"/>
        <w:gridCol w:w="109"/>
        <w:gridCol w:w="211"/>
        <w:gridCol w:w="481"/>
        <w:gridCol w:w="109"/>
        <w:gridCol w:w="109"/>
        <w:gridCol w:w="109"/>
        <w:gridCol w:w="109"/>
        <w:gridCol w:w="211"/>
        <w:gridCol w:w="586"/>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BKFC</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Partners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CSI</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Watkins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Fund</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Alight</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Based on quoted market prices, the fair value of our ownership in Alight common stock was $22.7 million as of June 30, 2026. </w:t>
      </w:r>
      <w:r>
        <w:rPr>
          <w:rFonts w:ascii="Times New Roman;serif" w:hAnsi="Times New Roman;serif"/>
          <w:b w:val="false"/>
          <w:color w:val="000000"/>
          <w:sz w:val="20"/>
        </w:rPr>
        <w:t xml:space="preserve">Summarized statement of operations information for Alight for the relevant dates and time periods included in Equity in earnings (losses) of unconsolidated affiliates in our Condensed Consolidated Statements of Operations is presented below. </w:t>
      </w:r>
    </w:p>
    <w:tbl>
      <w:tblPr>
        <w:tblW w:w="8328" w:type="dxa"/>
        <w:jc w:val="left"/>
        <w:tblInd w:w="0" w:type="dxa"/>
        <w:tblLayout w:type="fixed"/>
        <w:tblCellMar>
          <w:top w:w="28" w:type="dxa"/>
          <w:left w:w="28" w:type="dxa"/>
          <w:bottom w:w="28" w:type="dxa"/>
          <w:right w:w="28" w:type="dxa"/>
        </w:tblCellMar>
      </w:tblPr>
      <w:tblGrid>
        <w:gridCol w:w="1156"/>
        <w:gridCol w:w="1017"/>
        <w:gridCol w:w="1022"/>
        <w:gridCol w:w="217"/>
        <w:gridCol w:w="634"/>
        <w:gridCol w:w="112"/>
        <w:gridCol w:w="112"/>
        <w:gridCol w:w="112"/>
        <w:gridCol w:w="112"/>
        <w:gridCol w:w="217"/>
        <w:gridCol w:w="634"/>
        <w:gridCol w:w="112"/>
        <w:gridCol w:w="109"/>
        <w:gridCol w:w="109"/>
        <w:gridCol w:w="109"/>
        <w:gridCol w:w="211"/>
        <w:gridCol w:w="766"/>
        <w:gridCol w:w="109"/>
        <w:gridCol w:w="109"/>
        <w:gridCol w:w="109"/>
        <w:gridCol w:w="109"/>
        <w:gridCol w:w="211"/>
        <w:gridCol w:w="766"/>
        <w:gridCol w:w="154"/>
      </w:tblGrid>
      <w:tr>
        <w:trPr/>
        <w:tc>
          <w:tcPr>
            <w:tcW w:w="1156" w:type="dxa"/>
            <w:tcBorders/>
            <w:vAlign w:val="center"/>
          </w:tcPr>
          <w:p>
            <w:pPr>
              <w:pStyle w:val="TableContents"/>
              <w:bidi w:val="0"/>
              <w:spacing w:before="0" w:after="283"/>
              <w:jc w:val="left"/>
              <w:rPr>
                <w:sz w:val="4"/>
                <w:szCs w:val="4"/>
              </w:rPr>
            </w:pPr>
            <w:r>
              <w:rPr>
                <w:sz w:val="4"/>
                <w:szCs w:val="4"/>
              </w:rPr>
            </w:r>
          </w:p>
        </w:tc>
        <w:tc>
          <w:tcPr>
            <w:tcW w:w="1017" w:type="dxa"/>
            <w:tcBorders/>
            <w:vAlign w:val="center"/>
          </w:tcPr>
          <w:p>
            <w:pPr>
              <w:pStyle w:val="TableContents"/>
              <w:bidi w:val="0"/>
              <w:spacing w:before="0" w:after="283"/>
              <w:jc w:val="left"/>
              <w:rPr>
                <w:sz w:val="4"/>
                <w:szCs w:val="4"/>
              </w:rPr>
            </w:pPr>
            <w:r>
              <w:rPr>
                <w:sz w:val="4"/>
                <w:szCs w:val="4"/>
              </w:rPr>
            </w:r>
          </w:p>
        </w:tc>
        <w:tc>
          <w:tcPr>
            <w:tcW w:w="102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95"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Alight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BKFC</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Summarized statement of operation information for Black Knight Football for the relevant dates and time periods included in Equity in earnings (losses) of unconsolidated affiliates in our Condensed Consolidated Statements of Operations is presented below. We report our equity in the earnings or loss of BKFC on a three-month lag. Accordingly, our net earnings (loss) for the three and six months ended June 30,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includes our equity in Black Knight Football’s earnings (losses) for the three and six months ended March 31, 2026 and 2025, respectively. </w:t>
      </w:r>
    </w:p>
    <w:tbl>
      <w:tblPr>
        <w:tblW w:w="8208" w:type="dxa"/>
        <w:jc w:val="left"/>
        <w:tblInd w:w="0" w:type="dxa"/>
        <w:tblLayout w:type="fixed"/>
        <w:tblCellMar>
          <w:top w:w="28" w:type="dxa"/>
          <w:left w:w="28" w:type="dxa"/>
          <w:bottom w:w="28" w:type="dxa"/>
          <w:right w:w="28" w:type="dxa"/>
        </w:tblCellMar>
      </w:tblPr>
      <w:tblGrid>
        <w:gridCol w:w="1188"/>
        <w:gridCol w:w="1045"/>
        <w:gridCol w:w="1051"/>
        <w:gridCol w:w="249"/>
        <w:gridCol w:w="605"/>
        <w:gridCol w:w="129"/>
        <w:gridCol w:w="129"/>
        <w:gridCol w:w="129"/>
        <w:gridCol w:w="129"/>
        <w:gridCol w:w="249"/>
        <w:gridCol w:w="605"/>
        <w:gridCol w:w="129"/>
        <w:gridCol w:w="109"/>
        <w:gridCol w:w="109"/>
        <w:gridCol w:w="109"/>
        <w:gridCol w:w="211"/>
        <w:gridCol w:w="616"/>
        <w:gridCol w:w="109"/>
        <w:gridCol w:w="109"/>
        <w:gridCol w:w="109"/>
        <w:gridCol w:w="109"/>
        <w:gridCol w:w="211"/>
        <w:gridCol w:w="616"/>
        <w:gridCol w:w="154"/>
      </w:tblGrid>
      <w:tr>
        <w:trPr/>
        <w:tc>
          <w:tcPr>
            <w:tcW w:w="1188"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of unconsolidated affiliates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BKFC</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i/>
          <w:color w:val="000000"/>
          <w:sz w:val="20"/>
        </w:rPr>
      </w:pPr>
      <w:r>
        <w:rPr>
          <w:rFonts w:ascii="Times New Roman;serif" w:hAnsi="Times New Roman;serif"/>
          <w:b w:val="false"/>
          <w:i/>
          <w:color w:val="000000"/>
          <w:sz w:val="20"/>
        </w:rPr>
        <w:t>JANA Partners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Summarized statement of operation information for JANA Partners for the relevant dates and time periods included in Equity in earnings (losses) of unconsolidated affiliates in our Condensed Consolidated Statements of Operations is presented below. We account for our ownership interest in JANA Partners as an unconsolidated affiliate using the equity method of accounting and record our ratable share of JANA's net income or loss on a three-month lag. Accordingly, our net earnings (loss) for the three and six months ended June 30,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includes our equity in JANA’s earnings (losses) for the three and six months ended March 31, 2026 and 2025, respectively.</w:t>
      </w:r>
    </w:p>
    <w:tbl>
      <w:tblPr>
        <w:tblW w:w="6456" w:type="dxa"/>
        <w:jc w:val="left"/>
        <w:tblInd w:w="0" w:type="dxa"/>
        <w:tblLayout w:type="fixed"/>
        <w:tblCellMar>
          <w:top w:w="28" w:type="dxa"/>
          <w:left w:w="28" w:type="dxa"/>
          <w:bottom w:w="28" w:type="dxa"/>
          <w:right w:w="28" w:type="dxa"/>
        </w:tblCellMar>
      </w:tblPr>
      <w:tblGrid>
        <w:gridCol w:w="569"/>
        <w:gridCol w:w="501"/>
        <w:gridCol w:w="504"/>
        <w:gridCol w:w="279"/>
        <w:gridCol w:w="537"/>
        <w:gridCol w:w="144"/>
        <w:gridCol w:w="144"/>
        <w:gridCol w:w="144"/>
        <w:gridCol w:w="144"/>
        <w:gridCol w:w="279"/>
        <w:gridCol w:w="537"/>
        <w:gridCol w:w="144"/>
        <w:gridCol w:w="109"/>
        <w:gridCol w:w="109"/>
        <w:gridCol w:w="109"/>
        <w:gridCol w:w="228"/>
        <w:gridCol w:w="554"/>
        <w:gridCol w:w="118"/>
        <w:gridCol w:w="118"/>
        <w:gridCol w:w="118"/>
        <w:gridCol w:w="118"/>
        <w:gridCol w:w="228"/>
        <w:gridCol w:w="554"/>
        <w:gridCol w:w="167"/>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Equity Securities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Recognized (losses) gains, net on the Condensed Consolidated Statements of Operations consisted of the following losses on equity securities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2026 and 2025:</w:t>
      </w:r>
    </w:p>
    <w:tbl>
      <w:tblPr>
        <w:tblW w:w="10205" w:type="dxa"/>
        <w:jc w:val="left"/>
        <w:tblInd w:w="0" w:type="dxa"/>
        <w:tblLayout w:type="fixed"/>
        <w:tblCellMar>
          <w:top w:w="28" w:type="dxa"/>
          <w:left w:w="28" w:type="dxa"/>
          <w:bottom w:w="28" w:type="dxa"/>
          <w:right w:w="28" w:type="dxa"/>
        </w:tblCellMar>
      </w:tblPr>
      <w:tblGrid>
        <w:gridCol w:w="2101"/>
        <w:gridCol w:w="1796"/>
        <w:gridCol w:w="1803"/>
        <w:gridCol w:w="228"/>
        <w:gridCol w:w="553"/>
        <w:gridCol w:w="118"/>
        <w:gridCol w:w="118"/>
        <w:gridCol w:w="118"/>
        <w:gridCol w:w="118"/>
        <w:gridCol w:w="228"/>
        <w:gridCol w:w="493"/>
        <w:gridCol w:w="118"/>
        <w:gridCol w:w="109"/>
        <w:gridCol w:w="109"/>
        <w:gridCol w:w="109"/>
        <w:gridCol w:w="211"/>
        <w:gridCol w:w="511"/>
        <w:gridCol w:w="109"/>
        <w:gridCol w:w="109"/>
        <w:gridCol w:w="109"/>
        <w:gridCol w:w="109"/>
        <w:gridCol w:w="211"/>
        <w:gridCol w:w="558"/>
        <w:gridCol w:w="159"/>
      </w:tblGrid>
      <w:tr>
        <w:trPr/>
        <w:tc>
          <w:tcPr>
            <w:tcW w:w="2101" w:type="dxa"/>
            <w:tcBorders/>
            <w:vAlign w:val="center"/>
          </w:tcPr>
          <w:p>
            <w:pPr>
              <w:pStyle w:val="TableContents"/>
              <w:bidi w:val="0"/>
              <w:spacing w:before="0" w:after="283"/>
              <w:jc w:val="left"/>
              <w:rPr>
                <w:sz w:val="4"/>
                <w:szCs w:val="4"/>
              </w:rPr>
            </w:pPr>
            <w:r>
              <w:rPr>
                <w:sz w:val="4"/>
                <w:szCs w:val="4"/>
              </w:rPr>
            </w:r>
          </w:p>
        </w:tc>
        <w:tc>
          <w:tcPr>
            <w:tcW w:w="1796" w:type="dxa"/>
            <w:tcBorders/>
            <w:vAlign w:val="center"/>
          </w:tcPr>
          <w:p>
            <w:pPr>
              <w:pStyle w:val="TableContents"/>
              <w:bidi w:val="0"/>
              <w:spacing w:before="0" w:after="283"/>
              <w:jc w:val="left"/>
              <w:rPr>
                <w:sz w:val="4"/>
                <w:szCs w:val="4"/>
              </w:rPr>
            </w:pPr>
            <w:r>
              <w:rPr>
                <w:sz w:val="4"/>
                <w:szCs w:val="4"/>
              </w:rPr>
            </w:r>
          </w:p>
        </w:tc>
        <w:tc>
          <w:tcPr>
            <w:tcW w:w="180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493"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gains (losses) recognized during the period on equity securities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net gains (losses) recognized during the period on equity securities sold, transferred or disposed during the period</w:t>
            </w:r>
          </w:p>
        </w:tc>
        <w:tc>
          <w:tcPr>
            <w:tcW w:w="7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gains (losses) recognized during the reporting period on equity securities held at the reporting date</w:t>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w:t>
            </w:r>
          </w:p>
        </w:tc>
        <w:tc>
          <w:tcPr>
            <w:tcW w:w="11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w:t>
            </w:r>
          </w:p>
        </w:tc>
        <w:tc>
          <w:tcPr>
            <w:tcW w:w="15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Equity Security Investments Without Readily Determinable Fair Values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We account for our investments in AmeriLife and certain other ownership interests at cost adjusted for any impairment</w:t>
      </w:r>
      <w:r>
        <w:rPr>
          <w:color w:val="000000"/>
        </w:rPr>
        <w:t xml:space="preserve"> </w:t>
      </w:r>
      <w:r>
        <w:rPr>
          <w:rFonts w:ascii="Times New Roman;serif" w:hAnsi="Times New Roman;serif"/>
          <w:b w:val="false"/>
          <w:color w:val="000000"/>
          <w:sz w:val="20"/>
        </w:rPr>
        <w:t>or changes resulting from observable price changes in orderly market transactions</w:t>
      </w:r>
      <w:r>
        <w:rPr>
          <w:rFonts w:ascii="Times New Roman;serif" w:hAnsi="Times New Roman;serif"/>
          <w:b w:val="false"/>
          <w:color w:val="000000"/>
          <w:sz w:val="20"/>
          <w:shd w:fill="FFFFFF" w:val="clear"/>
        </w:rPr>
        <w:t xml:space="preserve">. As of June 30, 2026 and December 31, 2025, we have $139.9 million and $147.3 million, respectively, recorded for such investments, which is included in Equity securities, without a readily determinable fair value on our Condensed Consolidated Balance Sheets. During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2026 and 2025, we have not recorded any material upward or downward adjustments to these investments due to price changes or impairments.</w:t>
      </w:r>
    </w:p>
    <w:p>
      <w:pPr>
        <w:pStyle w:val="TextBody"/>
        <w:bidi w:val="0"/>
        <w:spacing w:lineRule="auto" w:line="288" w:before="120" w:after="120"/>
        <w:ind w:left="0" w:right="0" w:firstLine="360"/>
        <w:jc w:val="both"/>
        <w:rPr/>
      </w:pPr>
      <w:r>
        <w:rPr>
          <w:rFonts w:ascii="Times New Roman;serif" w:hAnsi="Times New Roman;serif"/>
          <w:b w:val="false"/>
          <w:color w:val="000000"/>
          <w:sz w:val="20"/>
          <w:shd w:fill="FFFFFF" w:val="clear"/>
        </w:rPr>
        <w:t xml:space="preserve">The Company holds an equity interest in SpaceX, acquired in January 2023 as part of a tender offer. Prior to June 12, 2026, this investment did not have a readily determinable fair value and was accounted for under the measurement alternative under ASC 321-10-35-2 as noted above. As of March 31, 2026, the carrying value of the investment was $27.5 million. On June 12, 2026, SpaceX completed its initial public offering and began trading on the Nasdaq under the ticker symbol "SPCX." As a result, the Company's investment no longer qualifies for the measurement alternative as the security now has a readily determinable fair value. Upon the occurrence of the IPO which created an observable fair market value for SpaceX, the Company remeasured its investment to a fair value of $110.9 million as of June 30, 2026, resulting in a gain of $83.4 million, which was included in Recognized gains (losses), net on the Company's Condensed Consolidated Statement of Operations for the </w:t>
      </w:r>
      <w:r>
        <w:rPr>
          <w:rFonts w:ascii="Times New Roman;serif" w:hAnsi="Times New Roman;serif"/>
          <w:b w:val="false"/>
          <w:color w:val="000000"/>
          <w:sz w:val="20"/>
        </w:rPr>
        <w:t>three and six</w:t>
      </w:r>
      <w:r>
        <w:rPr>
          <w:color w:val="000000"/>
          <w:shd w:fill="FFFFFF" w:val="clear"/>
        </w:rPr>
        <w:t xml:space="preserve"> </w:t>
      </w:r>
      <w:r>
        <w:rPr>
          <w:rFonts w:ascii="Times New Roman;serif" w:hAnsi="Times New Roman;serif"/>
          <w:b w:val="false"/>
          <w:color w:val="000000"/>
          <w:sz w:val="20"/>
          <w:shd w:fill="FFFFFF" w:val="clear"/>
        </w:rPr>
        <w:t>months ended June 30, 2026, in accordance with ASC 321-10-35-1.</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See Note C - </w:t>
      </w:r>
      <w:r>
        <w:rPr>
          <w:rFonts w:ascii="Times New Roman;serif" w:hAnsi="Times New Roman;serif"/>
          <w:b w:val="false"/>
          <w:i/>
          <w:color w:val="000000"/>
          <w:sz w:val="20"/>
        </w:rPr>
        <w:t>Fair Value Measurements</w:t>
      </w:r>
      <w:r>
        <w:rPr>
          <w:color w:val="000000"/>
        </w:rPr>
        <w:t> </w:t>
      </w:r>
      <w:r>
        <w:rPr>
          <w:rFonts w:ascii="Times New Roman;serif" w:hAnsi="Times New Roman;serif"/>
          <w:b w:val="false"/>
          <w:color w:val="000000"/>
          <w:sz w:val="20"/>
        </w:rPr>
        <w:t>for further information on the fair value of our investment in SpaceX.</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C — Fair Value Measurements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 hierarchy established by the accounting standards on fair value measurements includes three levels, which are based on the priority of the inputs to the valuation technique. The fair value hierarchy gives the highest priority to quoted prices in active markets for identical assets or liabilities (Level 1) and the lowest priority to unobservable inputs (Level 3). If the inputs used to measure the financial instruments fall within different levels of the hierarchy, the categorization is based on the lowest level input that is significant to the fair value measurement of the instrument. Financial assets and liabilities that are recorded in the Consolidated Balance Sheets are categorized based on the inputs to the valuation techniques as follows:</w:t>
      </w:r>
    </w:p>
    <w:p>
      <w:pPr>
        <w:pStyle w:val="TextBody"/>
        <w:bidi w:val="0"/>
        <w:spacing w:lineRule="auto" w:line="288" w:before="0" w:after="100"/>
        <w:ind w:left="0" w:right="0" w:firstLine="720"/>
        <w:jc w:val="both"/>
        <w:rPr/>
      </w:pPr>
      <w:r>
        <w:rPr>
          <w:rFonts w:ascii="Times New Roman;serif" w:hAnsi="Times New Roman;serif"/>
          <w:b w:val="false"/>
          <w:i/>
          <w:color w:val="000000"/>
          <w:sz w:val="20"/>
          <w:shd w:fill="FFFFFF" w:val="clear"/>
        </w:rPr>
        <w:t xml:space="preserve">Level 1. </w:t>
      </w:r>
      <w:r>
        <w:rPr>
          <w:rFonts w:ascii="Times New Roman;serif" w:hAnsi="Times New Roman;serif"/>
          <w:b w:val="false"/>
          <w:color w:val="000000"/>
          <w:sz w:val="20"/>
          <w:shd w:fill="FFFFFF" w:val="clear"/>
        </w:rPr>
        <w:t>Financial assets and liabilities whose values are based on unadjusted quoted prices for identical assets or liabilities in an active market that we have the ability to access.</w:t>
      </w:r>
    </w:p>
    <w:p>
      <w:pPr>
        <w:pStyle w:val="TextBody"/>
        <w:bidi w:val="0"/>
        <w:spacing w:lineRule="auto" w:line="288" w:before="0" w:after="100"/>
        <w:ind w:left="0" w:right="0" w:firstLine="720"/>
        <w:jc w:val="both"/>
        <w:rPr/>
      </w:pPr>
      <w:r>
        <w:rPr>
          <w:rFonts w:ascii="Times New Roman;serif" w:hAnsi="Times New Roman;serif"/>
          <w:b w:val="false"/>
          <w:i/>
          <w:color w:val="000000"/>
          <w:sz w:val="20"/>
          <w:shd w:fill="FFFFFF" w:val="clear"/>
        </w:rPr>
        <w:t xml:space="preserve">Level 2. </w:t>
      </w:r>
      <w:r>
        <w:rPr>
          <w:rFonts w:ascii="Times New Roman;serif" w:hAnsi="Times New Roman;serif"/>
          <w:b w:val="false"/>
          <w:color w:val="000000"/>
          <w:sz w:val="20"/>
          <w:shd w:fill="FFFFFF" w:val="clear"/>
        </w:rPr>
        <w:t>Financial assets and liabilities whose values are based on quoted prices in markets that are not active or model inputs that are observable either directly or indirectly for substantially the full term of the asset or liability.</w:t>
      </w:r>
    </w:p>
    <w:p>
      <w:pPr>
        <w:pStyle w:val="TextBody"/>
        <w:bidi w:val="0"/>
        <w:spacing w:lineRule="auto" w:line="288" w:before="0" w:after="100"/>
        <w:ind w:left="0" w:right="0" w:firstLine="720"/>
        <w:jc w:val="both"/>
        <w:rPr/>
      </w:pPr>
      <w:r>
        <w:rPr>
          <w:rFonts w:ascii="Times New Roman;serif" w:hAnsi="Times New Roman;serif"/>
          <w:b w:val="false"/>
          <w:i/>
          <w:color w:val="000000"/>
          <w:sz w:val="20"/>
          <w:shd w:fill="FFFFFF" w:val="clear"/>
        </w:rPr>
        <w:t xml:space="preserve">Level 3. </w:t>
      </w:r>
      <w:r>
        <w:rPr>
          <w:rFonts w:ascii="Times New Roman;serif" w:hAnsi="Times New Roman;serif"/>
          <w:b w:val="false"/>
          <w:color w:val="000000"/>
          <w:sz w:val="20"/>
          <w:shd w:fill="FFFFFF" w:val="clear"/>
        </w:rPr>
        <w:t>Financial assets and liabilities whose values are based on model inputs that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Recurring Fair Value Measurements</w:t>
      </w:r>
    </w:p>
    <w:p>
      <w:pPr>
        <w:pStyle w:val="TextBody"/>
        <w:bidi w:val="0"/>
        <w:spacing w:lineRule="auto" w:line="288"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presents our fair value hierarchy for those assets and liabilities measured at fair value on a recurring basis as of June 30, 2026 and December 31, 2025, respectively:</w:t>
      </w:r>
    </w:p>
    <w:tbl>
      <w:tblPr>
        <w:tblW w:w="9544" w:type="dxa"/>
        <w:jc w:val="left"/>
        <w:tblInd w:w="0" w:type="dxa"/>
        <w:tblLayout w:type="fixed"/>
        <w:tblCellMar>
          <w:top w:w="28" w:type="dxa"/>
          <w:left w:w="28" w:type="dxa"/>
          <w:bottom w:w="28" w:type="dxa"/>
          <w:right w:w="28" w:type="dxa"/>
        </w:tblCellMar>
      </w:tblPr>
      <w:tblGrid>
        <w:gridCol w:w="1799"/>
        <w:gridCol w:w="1584"/>
        <w:gridCol w:w="1597"/>
        <w:gridCol w:w="211"/>
        <w:gridCol w:w="616"/>
        <w:gridCol w:w="109"/>
        <w:gridCol w:w="109"/>
        <w:gridCol w:w="109"/>
        <w:gridCol w:w="109"/>
        <w:gridCol w:w="211"/>
        <w:gridCol w:w="511"/>
        <w:gridCol w:w="109"/>
        <w:gridCol w:w="109"/>
        <w:gridCol w:w="109"/>
        <w:gridCol w:w="109"/>
        <w:gridCol w:w="211"/>
        <w:gridCol w:w="406"/>
        <w:gridCol w:w="109"/>
        <w:gridCol w:w="109"/>
        <w:gridCol w:w="109"/>
        <w:gridCol w:w="109"/>
        <w:gridCol w:w="211"/>
        <w:gridCol w:w="616"/>
        <w:gridCol w:w="109"/>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SpaceX</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Right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other accrued liabilities, current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tbl>
      <w:tblPr>
        <w:tblW w:w="9435" w:type="dxa"/>
        <w:jc w:val="left"/>
        <w:tblInd w:w="0" w:type="dxa"/>
        <w:tblLayout w:type="fixed"/>
        <w:tblCellMar>
          <w:top w:w="28" w:type="dxa"/>
          <w:left w:w="28" w:type="dxa"/>
          <w:bottom w:w="28" w:type="dxa"/>
          <w:right w:w="28" w:type="dxa"/>
        </w:tblCellMar>
      </w:tblPr>
      <w:tblGrid>
        <w:gridCol w:w="1799"/>
        <w:gridCol w:w="1584"/>
        <w:gridCol w:w="1597"/>
        <w:gridCol w:w="211"/>
        <w:gridCol w:w="616"/>
        <w:gridCol w:w="109"/>
        <w:gridCol w:w="109"/>
        <w:gridCol w:w="109"/>
        <w:gridCol w:w="109"/>
        <w:gridCol w:w="211"/>
        <w:gridCol w:w="511"/>
        <w:gridCol w:w="109"/>
        <w:gridCol w:w="109"/>
        <w:gridCol w:w="109"/>
        <w:gridCol w:w="109"/>
        <w:gridCol w:w="211"/>
        <w:gridCol w:w="406"/>
        <w:gridCol w:w="109"/>
        <w:gridCol w:w="109"/>
        <w:gridCol w:w="109"/>
        <w:gridCol w:w="109"/>
        <w:gridCol w:w="211"/>
        <w:gridCol w:w="616"/>
        <w:gridCol w:w="154"/>
      </w:tblGrid>
      <w:tr>
        <w:trPr/>
        <w:tc>
          <w:tcPr>
            <w:tcW w:w="1799"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9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5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Total assets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93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Right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payable and other accrued liabilities, current</w:t>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 Put Right was accounted for at fair value using a market approach based on the value implied by the Brasada Sale. In connection with the Brasada Sale, the Put Right was terminated effective July 15, 2026, pursuant to the Letter Agreement.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See Note A - </w:t>
      </w:r>
      <w:r>
        <w:rPr>
          <w:rFonts w:ascii="Times New Roman;serif" w:hAnsi="Times New Roman;serif"/>
          <w:b w:val="false"/>
          <w:i/>
          <w:color w:val="000000"/>
          <w:sz w:val="20"/>
        </w:rPr>
        <w:t>Basis of Financial Statements</w:t>
      </w:r>
      <w:r>
        <w:rPr>
          <w:color w:val="000000"/>
        </w:rPr>
        <w:t xml:space="preserve"> </w:t>
      </w:r>
      <w:r>
        <w:rPr>
          <w:rFonts w:ascii="Times New Roman;serif" w:hAnsi="Times New Roman;serif"/>
          <w:b w:val="false"/>
          <w:color w:val="000000"/>
          <w:sz w:val="20"/>
        </w:rPr>
        <w:t>for further discussion of the Brasada Sale.</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Put Right was accounted for at fair value calculated using a Monte Carlo Simulation with Level 2 fair value hierarchy inputs. The valuation model utilized the stock price and growth rate of the Company's common stock, the two-year duration of the DSA, the implied volatility of the Company's common stock using comparable public companies and a discount rate based on US treasury securities of similar duration to the Put Right.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Note D — Variable Interest Entities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in the normal course of business, engages in certain activities that involve variable interest entities ("VIEs"), which are legal entities in which a group of equity investors individually lack any of the characteristics of a controlling interest. The primary beneficiary of a VIE is generally the enterprise that has both the power to direct the activities most significant to the economic performance of the VIE and the obligation to absorb losses or receive benefits that could potentially be significant to the VIE. The Company evaluates its interest in certain entities to determine if these entities meet the definition of a VIE and whether the Company is the primary beneficiary and should consolidate the entity based on the variable interests it holds both at inception and when there is a change in circumstances that requires reconsideration. If the Company is determined to be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primary beneficiary of a VIE, it must account for the VIE as a consolidated subsidiary. If the Company is determined not to be the primary beneficiary of a VIE but holds a variable interest in the entity, such variable interests are accounted for under accounting standards as deemed appropriate. As of and for the periods ended June 30, 2026 and December 31, 2025, we are not the primary beneficiary of any VIEs.</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Unconsolidated VIEs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table below summarizes select information related to variable interests held by the Company as of June 30, 2026 and December 31, 2025, of which we are not the primary beneficiary:</w:t>
      </w:r>
    </w:p>
    <w:tbl>
      <w:tblPr>
        <w:tblW w:w="10205" w:type="dxa"/>
        <w:jc w:val="left"/>
        <w:tblInd w:w="0" w:type="dxa"/>
        <w:tblLayout w:type="fixed"/>
        <w:tblCellMar>
          <w:top w:w="28" w:type="dxa"/>
          <w:left w:w="28" w:type="dxa"/>
          <w:bottom w:w="28" w:type="dxa"/>
          <w:right w:w="28" w:type="dxa"/>
        </w:tblCellMar>
      </w:tblPr>
      <w:tblGrid>
        <w:gridCol w:w="1632"/>
        <w:gridCol w:w="1436"/>
        <w:gridCol w:w="1440"/>
        <w:gridCol w:w="109"/>
        <w:gridCol w:w="109"/>
        <w:gridCol w:w="109"/>
        <w:gridCol w:w="221"/>
        <w:gridCol w:w="647"/>
        <w:gridCol w:w="114"/>
        <w:gridCol w:w="114"/>
        <w:gridCol w:w="303"/>
        <w:gridCol w:w="888"/>
        <w:gridCol w:w="156"/>
        <w:gridCol w:w="122"/>
        <w:gridCol w:w="122"/>
        <w:gridCol w:w="122"/>
        <w:gridCol w:w="236"/>
        <w:gridCol w:w="692"/>
        <w:gridCol w:w="122"/>
        <w:gridCol w:w="109"/>
        <w:gridCol w:w="299"/>
        <w:gridCol w:w="875"/>
        <w:gridCol w:w="228"/>
      </w:tblGrid>
      <w:tr>
        <w:trPr/>
        <w:tc>
          <w:tcPr>
            <w:tcW w:w="1632"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4"/>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13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6"/>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1511" w:type="dxa"/>
            <w:gridSpan w:val="4"/>
            <w:tcBorders/>
          </w:tcPr>
          <w:p>
            <w:pPr>
              <w:pStyle w:val="TableContents"/>
              <w:bidi w:val="0"/>
              <w:spacing w:before="0" w:after="283"/>
              <w:jc w:val="left"/>
              <w:rPr>
                <w:sz w:val="4"/>
                <w:szCs w:val="4"/>
              </w:rPr>
            </w:pPr>
            <w:r>
              <w:rPr>
                <w:sz w:val="4"/>
                <w:szCs w:val="4"/>
              </w:rPr>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114" w:type="dxa"/>
            <w:tcBorders/>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w:t>
            </w:r>
          </w:p>
        </w:tc>
        <w:tc>
          <w:tcPr>
            <w:tcW w:w="3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Assets</w:t>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Maximum Exposure</w:t>
            </w:r>
          </w:p>
        </w:tc>
      </w:tr>
      <w:tr>
        <w:trPr/>
        <w:tc>
          <w:tcPr>
            <w:tcW w:w="45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6" w:type="dxa"/>
            <w:gridSpan w:val="1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511" w:type="dxa"/>
            <w:gridSpan w:val="4"/>
            <w:tcBorders/>
          </w:tcPr>
          <w:p>
            <w:pPr>
              <w:pStyle w:val="TableContents"/>
              <w:bidi w:val="0"/>
              <w:spacing w:before="0" w:after="283"/>
              <w:jc w:val="left"/>
              <w:rPr>
                <w:sz w:val="4"/>
                <w:szCs w:val="4"/>
              </w:rPr>
            </w:pPr>
            <w:r>
              <w:rPr>
                <w:sz w:val="4"/>
                <w:szCs w:val="4"/>
              </w:rPr>
            </w:r>
          </w:p>
        </w:tc>
      </w:tr>
      <w:tr>
        <w:trPr/>
        <w:tc>
          <w:tcPr>
            <w:tcW w:w="45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0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45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 or Other long-term investments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2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4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r>
        <w:trPr/>
        <w:tc>
          <w:tcPr>
            <w:tcW w:w="45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47"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05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Investments in Unconsolidated Affiliates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and December 31, 2025, we held variable interests in certain unconsolidated affiliates, which are primarily comprised of our ownership interests in BKFC, CSI, the JANA Fund and Minden Mill. Cannae does not have the power to direct the activities that most significantly impact the economic performance of these unconsolidated affiliates; therefore, we are not the primary beneficiary.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the amounts included in Other long-term investments and non-current assets on the Condensed Consolidated Balance Sheets consist of notes receivable with Minden Mill.</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principal risk to which these investments and funds are exposed is the credit risk of the underlying investees. The primary assets for our ownership of these VIEs are included in Investments in unconsolidated affiliates on the Condensed Consolidated Balance Sheets and accounted for under the equity method of accounting.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See Note B -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 xml:space="preserve">for further discussion of our accounting for investments in unconsolidated affiliates.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 xml:space="preserve">Note E — Segment Information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Cannae has identified four reportable segments: Restaurant Group, Alight, BKFC and JANA. The activities in our segments include the following:</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 xml:space="preserve">Restaurant Group. </w:t>
      </w:r>
      <w:r>
        <w:rPr>
          <w:rFonts w:ascii="Times New Roman;serif" w:hAnsi="Times New Roman;serif"/>
          <w:b w:val="false"/>
          <w:color w:val="000000"/>
          <w:sz w:val="20"/>
        </w:rPr>
        <w:t xml:space="preserve">This segment consists primarily of the operations of O'Charley's and 99 Restaurants in which we have 65.4% and 88.5% ownership interests, respectively. O'Charley's and 99 Restaurants and their affiliates are the owners and operators of the O'Charley's and Ninety Nine Restaurants restaurant concepts, respectively. </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Alight</w:t>
      </w:r>
      <w:r>
        <w:rPr>
          <w:rFonts w:ascii="Times New Roman;serif" w:hAnsi="Times New Roman;serif"/>
          <w:b w:val="false"/>
          <w:color w:val="000000"/>
          <w:sz w:val="20"/>
        </w:rPr>
        <w:t>. This segment consists of our 7.7% ownership interest in Alight. Alight is a technology-enabled services company delivering human capital management solutions to many of the world’s largest and most complex organizations. This includes the implementation and administration of employee benefits (e.g., health, wealth and leave benefits) solutions. Alight’s numerous solutions and services are utilized year-round by employees and their family members in support of their overall health, wealth and wellbeing goals. Participants can access their solutions digitally, including through a mobile application on Alight Worklife®, their intuitive, cloud-based employee engagement platform. Through Alight Worklife, Alight believes it is defining the future of employee benefits by providing an enterprise level, integrated offering designed to drive better outcomes for organizations and individuals. Our chief operating decision maker ("CODM") reviews the financial results of Alight for purposes of assessing performance and allocating resources. Thus, we consider Alight an operating segment. We account for Alight using the equity method of accounting, and therefore, its results do not consolidate into ours.</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Black Knight Football.</w:t>
      </w:r>
      <w:r>
        <w:rPr>
          <w:color w:val="000000"/>
        </w:rPr>
        <w:t xml:space="preserve"> </w:t>
      </w:r>
      <w:r>
        <w:rPr>
          <w:rFonts w:ascii="Times New Roman;serif" w:hAnsi="Times New Roman;serif"/>
          <w:b w:val="false"/>
          <w:color w:val="000000"/>
          <w:sz w:val="20"/>
        </w:rPr>
        <w:t xml:space="preserve">This segment consists of our 42.4% ownership interest in BKFC. BKFC is a partnership led by Mr. Foley, which owns and operates AFC Bournemouth ("AFCB"), an English Premier League ("EPL" or the "Premier League") football club, FC Lorient ("FCL"), a French Ligue 1 football club and Moreirense Futebol Clube ("MFC"), a Portuguese Primeira Liga Football club. BKFC purchased the remaining equity interest in FCL in January 2026 and now holds a 100% ownership interest in FCL. Prior to January 2026, BKFC held a 40% interest in FCL. BKFC acquired its controlling interest in MFC in June 2025. BKFC aims to grow into a leading multi-club operator of football assets across the world. Our CODM reviews the financial results of Black Knight Football for purposes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both"/>
        <w:rPr/>
      </w:pPr>
      <w:r>
        <w:rPr>
          <w:rFonts w:ascii="Times New Roman;serif" w:hAnsi="Times New Roman;serif"/>
          <w:b w:val="false"/>
          <w:color w:val="000000"/>
          <w:sz w:val="20"/>
        </w:rPr>
        <w:t xml:space="preserve">assessing performance and allocating resources. Thus, we consider BKFC an operating segment. We account for our ownership of BKFC using the equity method of accounting and therefore its results of operations do not consolidate into ours. We report our equity in earnings or loss of BKFC on a three-month lag. Accordingly, our net earnings (loss) for the three and six months ended June 30, 2026 and </w:t>
      </w:r>
      <w:r>
        <w:rPr>
          <w:rFonts w:ascii="Times New Roman;serif" w:hAnsi="Times New Roman;serif"/>
          <w:b w:val="false"/>
          <w:color w:val="000000"/>
          <w:sz w:val="20"/>
          <w:shd w:fill="FFFFFF" w:val="clear"/>
        </w:rPr>
        <w:t>2025</w:t>
      </w:r>
      <w:r>
        <w:rPr>
          <w:color w:val="000000"/>
        </w:rPr>
        <w:t xml:space="preserve"> </w:t>
      </w:r>
      <w:r>
        <w:rPr>
          <w:rFonts w:ascii="Times New Roman;serif" w:hAnsi="Times New Roman;serif"/>
          <w:b w:val="false"/>
          <w:color w:val="000000"/>
          <w:sz w:val="20"/>
        </w:rPr>
        <w:t xml:space="preserve">includes our equity in losses of BKFC for the three and six months ended March 31, 2026 and 2025, respectively. </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JANA Partners</w:t>
      </w:r>
      <w:r>
        <w:rPr>
          <w:rFonts w:ascii="Times New Roman;serif" w:hAnsi="Times New Roman;serif"/>
          <w:b w:val="false"/>
          <w:color w:val="000000"/>
          <w:sz w:val="20"/>
        </w:rPr>
        <w:t>. This segment consists of our 50.0% ownership interest in JANA Partners. JANA is an investment manager founded in 2001. Our CODM reviews the financial results of JANA Partners for purposes of assessing performance and allocating resources and thus we consider JANA an operating segment. We account for our ownership of JANA Partners using the equity method of accounting and therefore its results of operations do not consolidate into ours. We report our equity in earnings or loss of JANA on a three-month lag. Accordingly, our net earnings (loss) for the three and six months ended June 30, 2026 and 2025 includes our equity in JANA’s earnings for the three and six months ended March 31, 2026 and 2025, respectively.</w:t>
      </w:r>
    </w:p>
    <w:p>
      <w:pPr>
        <w:pStyle w:val="TextBody"/>
        <w:bidi w:val="0"/>
        <w:spacing w:lineRule="auto" w:line="288" w:before="120" w:after="120"/>
        <w:ind w:left="0" w:right="0" w:hanging="450"/>
        <w:jc w:val="both"/>
        <w:rPr/>
      </w:pPr>
      <w:r>
        <w:rPr>
          <w:color w:val="000000"/>
        </w:rPr>
        <w:t>•</w:t>
      </w:r>
      <w:r>
        <w:rPr>
          <w:rFonts w:ascii="Times New Roman;serif" w:hAnsi="Times New Roman;serif"/>
          <w:b w:val="false"/>
          <w:i/>
          <w:color w:val="000000"/>
          <w:sz w:val="20"/>
        </w:rPr>
        <w:t>Corporate and Other.</w:t>
      </w:r>
      <w:r>
        <w:rPr>
          <w:color w:val="000000"/>
        </w:rPr>
        <w:t xml:space="preserve"> </w:t>
      </w:r>
      <w:r>
        <w:rPr>
          <w:rFonts w:ascii="Times New Roman;serif" w:hAnsi="Times New Roman;serif"/>
          <w:b w:val="false"/>
          <w:color w:val="000000"/>
          <w:sz w:val="20"/>
        </w:rPr>
        <w:t>This nonreportable segment consists of our share in the operations of certain controlled portfolio companies and other equity interests, activity of the corporate holding company and certain intercompany eliminations and taxes.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Cannae’s CODM is the Company’s CEO, who oversees all of the Company’s investments and is responsible for the key operating decisions of the Company. The CODM primarily uses net earnings or loss and EBITDA as the performance measure for each operating segment which helps the CODM in deciding how to allocate resources. The CODM uses the performance measure to evaluate profitability and income generated from the businesses in deciding how to allocate the Company's resources and decisions regarding the investee relationship. As net earnings or loss is the measure most consistent with U.S. GAAP, we include such measure in our segment tables that follow.</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The tables below provide information about the Company's segments, as well as an aggregation of all other non-reportable operating segments within the Corporate and Other category. For Alight, BKFC and JANA, which are accounted for as unconsolidated affiliates, the amounts presented in the tables below represent our portion of equity in losses and our investment balance that reconcile to our consolidated statements of operations and balance sheets, respectively. Refer to Note B - </w:t>
      </w:r>
      <w:r>
        <w:rPr>
          <w:rFonts w:ascii="Times New Roman;serif" w:hAnsi="Times New Roman;serif"/>
          <w:b w:val="false"/>
          <w:i/>
          <w:color w:val="000000"/>
          <w:sz w:val="20"/>
        </w:rPr>
        <w:t xml:space="preserve">Investments </w:t>
      </w:r>
      <w:r>
        <w:rPr>
          <w:rFonts w:ascii="Times New Roman;serif" w:hAnsi="Times New Roman;serif"/>
          <w:b w:val="false"/>
          <w:color w:val="000000"/>
          <w:sz w:val="20"/>
        </w:rPr>
        <w:t xml:space="preserve">for certain summarized gross amounts of the results of operations of these unconsolidated affiliates.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We have disclosed those expenses for each reportable segment that are (1) regularly provided to the CODM; (2) included in each reported measure of segment profit and loss; and (3) considered significant, including categories of expense and amounts. </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See Note B - </w:t>
      </w:r>
      <w:r>
        <w:rPr>
          <w:rFonts w:ascii="Times New Roman;serif" w:hAnsi="Times New Roman;serif"/>
          <w:b w:val="false"/>
          <w:i/>
          <w:color w:val="000000"/>
          <w:sz w:val="20"/>
        </w:rPr>
        <w:t>Investments</w:t>
      </w:r>
      <w:r>
        <w:rPr>
          <w:color w:val="000000"/>
        </w:rPr>
        <w:t xml:space="preserve"> </w:t>
      </w:r>
      <w:r>
        <w:rPr>
          <w:rFonts w:ascii="Times New Roman;serif" w:hAnsi="Times New Roman;serif"/>
          <w:b w:val="false"/>
          <w:color w:val="000000"/>
          <w:sz w:val="20"/>
        </w:rPr>
        <w:t>for additional summarized financial information of Alight, BKFC and JANA.</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and for the three months ended June 30, 2026:</w:t>
      </w:r>
    </w:p>
    <w:tbl>
      <w:tblPr>
        <w:tblW w:w="10205" w:type="dxa"/>
        <w:jc w:val="left"/>
        <w:tblInd w:w="0" w:type="dxa"/>
        <w:tblLayout w:type="fixed"/>
        <w:tblCellMar>
          <w:top w:w="28" w:type="dxa"/>
          <w:left w:w="28" w:type="dxa"/>
          <w:bottom w:w="28" w:type="dxa"/>
          <w:right w:w="28" w:type="dxa"/>
        </w:tblCellMar>
      </w:tblPr>
      <w:tblGrid>
        <w:gridCol w:w="672"/>
        <w:gridCol w:w="330"/>
        <w:gridCol w:w="332"/>
        <w:gridCol w:w="229"/>
        <w:gridCol w:w="650"/>
        <w:gridCol w:w="127"/>
        <w:gridCol w:w="109"/>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233"/>
        <w:gridCol w:w="665"/>
        <w:gridCol w:w="131"/>
        <w:gridCol w:w="109"/>
        <w:gridCol w:w="109"/>
        <w:gridCol w:w="109"/>
        <w:gridCol w:w="218"/>
        <w:gridCol w:w="620"/>
        <w:gridCol w:w="123"/>
        <w:gridCol w:w="109"/>
        <w:gridCol w:w="109"/>
        <w:gridCol w:w="109"/>
        <w:gridCol w:w="224"/>
        <w:gridCol w:w="794"/>
        <w:gridCol w:w="184"/>
      </w:tblGrid>
      <w:tr>
        <w:trPr/>
        <w:tc>
          <w:tcPr>
            <w:tcW w:w="672"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Consolidated</w:t>
            </w:r>
          </w:p>
        </w:tc>
      </w:tr>
      <w:tr>
        <w:trPr/>
        <w:tc>
          <w:tcPr>
            <w:tcW w:w="13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42"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29" w:type="dxa"/>
            <w:gridSpan w:val="6"/>
            <w:tcBorders/>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revenues</w:t>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7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8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(1)</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52.3 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 earnings of unconsolidated affiliates</w:t>
            </w:r>
          </w:p>
        </w:tc>
        <w:tc>
          <w:tcPr>
            <w:tcW w:w="87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 from continuing operations</w:t>
            </w:r>
          </w:p>
        </w:tc>
        <w:tc>
          <w:tcPr>
            <w:tcW w:w="22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(39.1)</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67.5 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8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22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5"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550.5 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1,258.4 </w:t>
            </w:r>
          </w:p>
        </w:tc>
        <w:tc>
          <w:tcPr>
            <w:tcW w:w="18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 of and for the three months ended June 30, 2025:</w:t>
      </w:r>
    </w:p>
    <w:tbl>
      <w:tblPr>
        <w:tblW w:w="10205" w:type="dxa"/>
        <w:jc w:val="left"/>
        <w:tblInd w:w="0" w:type="dxa"/>
        <w:tblLayout w:type="fixed"/>
        <w:tblCellMar>
          <w:top w:w="28" w:type="dxa"/>
          <w:left w:w="28" w:type="dxa"/>
          <w:bottom w:w="28" w:type="dxa"/>
          <w:right w:w="28" w:type="dxa"/>
        </w:tblCellMar>
      </w:tblPr>
      <w:tblGrid>
        <w:gridCol w:w="668"/>
        <w:gridCol w:w="324"/>
        <w:gridCol w:w="326"/>
        <w:gridCol w:w="228"/>
        <w:gridCol w:w="647"/>
        <w:gridCol w:w="127"/>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31"/>
        <w:gridCol w:w="658"/>
        <w:gridCol w:w="130"/>
        <w:gridCol w:w="109"/>
        <w:gridCol w:w="109"/>
        <w:gridCol w:w="109"/>
        <w:gridCol w:w="196"/>
        <w:gridCol w:w="691"/>
        <w:gridCol w:w="109"/>
        <w:gridCol w:w="109"/>
        <w:gridCol w:w="109"/>
        <w:gridCol w:w="109"/>
        <w:gridCol w:w="224"/>
        <w:gridCol w:w="791"/>
        <w:gridCol w:w="182"/>
      </w:tblGrid>
      <w:tr>
        <w:trPr/>
        <w:tc>
          <w:tcPr>
            <w:tcW w:w="6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Consolidated</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24" w:type="dxa"/>
            <w:gridSpan w:val="6"/>
            <w:tcBorders/>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3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(1)</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earnings of unconsolidated affiliates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 from continuing operations</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(81.7)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(97.0)</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(132.5)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5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652.9 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1,785.8 </w:t>
            </w:r>
          </w:p>
        </w:tc>
        <w:tc>
          <w:tcPr>
            <w:tcW w:w="18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and for the six months ended June 30, 2026:</w:t>
      </w:r>
    </w:p>
    <w:tbl>
      <w:tblPr>
        <w:tblW w:w="10205" w:type="dxa"/>
        <w:jc w:val="left"/>
        <w:tblInd w:w="0" w:type="dxa"/>
        <w:tblLayout w:type="fixed"/>
        <w:tblCellMar>
          <w:top w:w="28" w:type="dxa"/>
          <w:left w:w="28" w:type="dxa"/>
          <w:bottom w:w="28" w:type="dxa"/>
          <w:right w:w="28" w:type="dxa"/>
        </w:tblCellMar>
      </w:tblPr>
      <w:tblGrid>
        <w:gridCol w:w="674"/>
        <w:gridCol w:w="331"/>
        <w:gridCol w:w="333"/>
        <w:gridCol w:w="228"/>
        <w:gridCol w:w="649"/>
        <w:gridCol w:w="127"/>
        <w:gridCol w:w="109"/>
        <w:gridCol w:w="109"/>
        <w:gridCol w:w="109"/>
        <w:gridCol w:w="109"/>
        <w:gridCol w:w="109"/>
        <w:gridCol w:w="196"/>
        <w:gridCol w:w="466"/>
        <w:gridCol w:w="109"/>
        <w:gridCol w:w="109"/>
        <w:gridCol w:w="109"/>
        <w:gridCol w:w="109"/>
        <w:gridCol w:w="196"/>
        <w:gridCol w:w="556"/>
        <w:gridCol w:w="109"/>
        <w:gridCol w:w="109"/>
        <w:gridCol w:w="109"/>
        <w:gridCol w:w="109"/>
        <w:gridCol w:w="196"/>
        <w:gridCol w:w="556"/>
        <w:gridCol w:w="109"/>
        <w:gridCol w:w="109"/>
        <w:gridCol w:w="109"/>
        <w:gridCol w:w="109"/>
        <w:gridCol w:w="233"/>
        <w:gridCol w:w="663"/>
        <w:gridCol w:w="131"/>
        <w:gridCol w:w="109"/>
        <w:gridCol w:w="109"/>
        <w:gridCol w:w="109"/>
        <w:gridCol w:w="218"/>
        <w:gridCol w:w="620"/>
        <w:gridCol w:w="123"/>
        <w:gridCol w:w="109"/>
        <w:gridCol w:w="109"/>
        <w:gridCol w:w="109"/>
        <w:gridCol w:w="224"/>
        <w:gridCol w:w="793"/>
        <w:gridCol w:w="185"/>
      </w:tblGrid>
      <w:tr>
        <w:trPr/>
        <w:tc>
          <w:tcPr>
            <w:tcW w:w="67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Consolidated</w:t>
            </w:r>
          </w:p>
        </w:tc>
      </w:tr>
      <w:tr>
        <w:trPr/>
        <w:tc>
          <w:tcPr>
            <w:tcW w:w="13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8"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29" w:type="dxa"/>
            <w:gridSpan w:val="6"/>
            <w:tcBorders/>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7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3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2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0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(1)</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earnings of unconsolidated affiliates</w:t>
            </w:r>
          </w:p>
        </w:tc>
        <w:tc>
          <w:tcPr>
            <w:tcW w:w="8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 from continuing operations</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(62.4)</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0.8 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(58.4)</w:t>
            </w:r>
          </w:p>
        </w:tc>
        <w:tc>
          <w:tcPr>
            <w:tcW w:w="13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51.0 </w:t>
            </w:r>
          </w:p>
        </w:tc>
        <w:tc>
          <w:tcPr>
            <w:tcW w:w="12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179.3 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160.2 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139.9 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550.5 </w:t>
            </w:r>
          </w:p>
        </w:tc>
        <w:tc>
          <w:tcPr>
            <w:tcW w:w="13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20"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707.9 </w:t>
            </w:r>
          </w:p>
        </w:tc>
        <w:tc>
          <w:tcPr>
            <w:tcW w:w="123"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3"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1,258.4 </w:t>
            </w:r>
          </w:p>
        </w:tc>
        <w:tc>
          <w:tcPr>
            <w:tcW w:w="185"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38" w:type="dxa"/>
            <w:gridSpan w:val="3"/>
            <w:tcBorders/>
            <w:vAlign w:val="center"/>
          </w:tcPr>
          <w:p>
            <w:pPr>
              <w:pStyle w:val="TableContents"/>
              <w:bidi w:val="0"/>
              <w:spacing w:before="0" w:after="283"/>
              <w:jc w:val="left"/>
              <w:rPr>
                <w:sz w:val="4"/>
                <w:szCs w:val="4"/>
              </w:rPr>
            </w:pPr>
            <w:r>
              <w:rPr>
                <w:sz w:val="4"/>
                <w:szCs w:val="4"/>
              </w:rPr>
            </w:r>
          </w:p>
        </w:tc>
        <w:tc>
          <w:tcPr>
            <w:tcW w:w="100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2"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240" w:after="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As of and for the six months ended June 30, 2025:</w:t>
      </w:r>
    </w:p>
    <w:tbl>
      <w:tblPr>
        <w:tblW w:w="10205" w:type="dxa"/>
        <w:jc w:val="left"/>
        <w:tblInd w:w="0" w:type="dxa"/>
        <w:tblLayout w:type="fixed"/>
        <w:tblCellMar>
          <w:top w:w="28" w:type="dxa"/>
          <w:left w:w="28" w:type="dxa"/>
          <w:bottom w:w="28" w:type="dxa"/>
          <w:right w:w="28" w:type="dxa"/>
        </w:tblCellMar>
      </w:tblPr>
      <w:tblGrid>
        <w:gridCol w:w="668"/>
        <w:gridCol w:w="324"/>
        <w:gridCol w:w="326"/>
        <w:gridCol w:w="228"/>
        <w:gridCol w:w="647"/>
        <w:gridCol w:w="127"/>
        <w:gridCol w:w="109"/>
        <w:gridCol w:w="109"/>
        <w:gridCol w:w="109"/>
        <w:gridCol w:w="109"/>
        <w:gridCol w:w="109"/>
        <w:gridCol w:w="196"/>
        <w:gridCol w:w="556"/>
        <w:gridCol w:w="109"/>
        <w:gridCol w:w="109"/>
        <w:gridCol w:w="109"/>
        <w:gridCol w:w="109"/>
        <w:gridCol w:w="196"/>
        <w:gridCol w:w="556"/>
        <w:gridCol w:w="109"/>
        <w:gridCol w:w="109"/>
        <w:gridCol w:w="109"/>
        <w:gridCol w:w="109"/>
        <w:gridCol w:w="196"/>
        <w:gridCol w:w="466"/>
        <w:gridCol w:w="109"/>
        <w:gridCol w:w="109"/>
        <w:gridCol w:w="109"/>
        <w:gridCol w:w="109"/>
        <w:gridCol w:w="228"/>
        <w:gridCol w:w="664"/>
        <w:gridCol w:w="127"/>
        <w:gridCol w:w="109"/>
        <w:gridCol w:w="109"/>
        <w:gridCol w:w="109"/>
        <w:gridCol w:w="196"/>
        <w:gridCol w:w="691"/>
        <w:gridCol w:w="109"/>
        <w:gridCol w:w="109"/>
        <w:gridCol w:w="109"/>
        <w:gridCol w:w="109"/>
        <w:gridCol w:w="224"/>
        <w:gridCol w:w="791"/>
        <w:gridCol w:w="182"/>
      </w:tblGrid>
      <w:tr>
        <w:trPr/>
        <w:tc>
          <w:tcPr>
            <w:tcW w:w="66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Restaurant Group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Alight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BKFC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JANA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color w:val="000000"/>
              </w:rPr>
            </w:pPr>
            <w:r>
              <w:rPr>
                <w:color w:val="000000"/>
              </w:rPr>
              <w:t> </w:t>
            </w:r>
            <w:r>
              <w:rPr>
                <w:rFonts w:ascii="Times New Roman;serif" w:hAnsi="Times New Roman;serif"/>
                <w:b/>
                <w:color w:val="000000"/>
                <w:sz w:val="18"/>
              </w:rPr>
              <w:t>Corporate</w:t>
              <w:br/>
              <w:t>and 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Consolidated</w:t>
            </w:r>
          </w:p>
        </w:tc>
      </w:tr>
      <w:tr>
        <w:trPr/>
        <w:tc>
          <w:tcPr>
            <w:tcW w:w="13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3" w:type="dxa"/>
            <w:gridSpan w:val="3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1524" w:type="dxa"/>
            <w:gridSpan w:val="6"/>
            <w:tcBorders/>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revenues</w:t>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revenues</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revenues</w:t>
            </w:r>
          </w:p>
        </w:tc>
        <w:tc>
          <w:tcPr>
            <w:tcW w:w="87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2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8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Expenses</w:t>
            </w:r>
          </w:p>
        </w:tc>
        <w:tc>
          <w:tcPr>
            <w:tcW w:w="10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revenue</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 xml:space="preserve">Other segment items </w:t>
            </w:r>
            <w:r>
              <w:rPr>
                <w:rFonts w:ascii="Times New Roman;serif" w:hAnsi="Times New Roman;serif"/>
                <w:b w:val="false"/>
                <w:color w:val="000000"/>
                <w:sz w:val="12"/>
              </w:rPr>
              <w:t>(1)</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(losses) earnings of unconsolidated affiliates</w:t>
            </w:r>
          </w:p>
        </w:tc>
        <w:tc>
          <w:tcPr>
            <w:tcW w:w="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(103.5)</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earnings from continuing operations</w:t>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(111.9)</w:t>
            </w:r>
          </w:p>
        </w:tc>
        <w:tc>
          <w:tcPr>
            <w:tcW w:w="12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(156.3)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w:t>
            </w:r>
          </w:p>
        </w:tc>
        <w:tc>
          <w:tcPr>
            <w:tcW w:w="18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Assets</w:t>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4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260.9 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106.0 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652.9 </w:t>
            </w:r>
          </w:p>
        </w:tc>
        <w:tc>
          <w:tcPr>
            <w:tcW w:w="127"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1,132.9 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91"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1,785.8 </w:t>
            </w:r>
          </w:p>
        </w:tc>
        <w:tc>
          <w:tcPr>
            <w:tcW w:w="182"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w:t>
            </w:r>
          </w:p>
        </w:tc>
        <w:tc>
          <w:tcPr>
            <w:tcW w:w="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53.4 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val="false"/>
          <w:i/>
          <w:color w:val="000000"/>
          <w:sz w:val="12"/>
        </w:rPr>
      </w:pPr>
      <w:r>
        <w:rPr>
          <w:rFonts w:ascii="Times New Roman;serif" w:hAnsi="Times New Roman;serif"/>
          <w:b w:val="false"/>
          <w:i/>
          <w:color w:val="000000"/>
          <w:sz w:val="12"/>
        </w:rPr>
        <w:t>_____________________________________</w:t>
      </w:r>
    </w:p>
    <w:p>
      <w:pPr>
        <w:pStyle w:val="TextBody"/>
        <w:bidi w:val="0"/>
        <w:spacing w:lineRule="auto" w:line="288" w:before="60" w:after="283"/>
        <w:jc w:val="both"/>
        <w:rPr>
          <w:rFonts w:ascii="Times New Roman;serif" w:hAnsi="Times New Roman;serif"/>
          <w:b w:val="false"/>
          <w:color w:val="000000"/>
          <w:sz w:val="18"/>
        </w:rPr>
      </w:pPr>
      <w:r>
        <w:rPr>
          <w:rFonts w:ascii="Times New Roman;serif" w:hAnsi="Times New Roman;serif"/>
          <w:b w:val="false"/>
          <w:color w:val="000000"/>
          <w:sz w:val="18"/>
        </w:rPr>
        <w:t>(1) "Other segment items" includes restaurant corporate personnel costs, advertising, professional fees and recognized gains and losses,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Note F — Revenue Recognition</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 consists of:</w:t>
      </w:r>
    </w:p>
    <w:tbl>
      <w:tblPr>
        <w:tblW w:w="9747" w:type="dxa"/>
        <w:jc w:val="left"/>
        <w:tblInd w:w="0" w:type="dxa"/>
        <w:tblLayout w:type="fixed"/>
        <w:tblCellMar>
          <w:top w:w="28" w:type="dxa"/>
          <w:left w:w="28" w:type="dxa"/>
          <w:bottom w:w="28" w:type="dxa"/>
          <w:right w:w="28" w:type="dxa"/>
        </w:tblCellMar>
      </w:tblPr>
      <w:tblGrid>
        <w:gridCol w:w="917"/>
        <w:gridCol w:w="806"/>
        <w:gridCol w:w="812"/>
        <w:gridCol w:w="109"/>
        <w:gridCol w:w="109"/>
        <w:gridCol w:w="109"/>
        <w:gridCol w:w="573"/>
        <w:gridCol w:w="573"/>
        <w:gridCol w:w="579"/>
        <w:gridCol w:w="109"/>
        <w:gridCol w:w="109"/>
        <w:gridCol w:w="109"/>
        <w:gridCol w:w="217"/>
        <w:gridCol w:w="634"/>
        <w:gridCol w:w="112"/>
        <w:gridCol w:w="112"/>
        <w:gridCol w:w="112"/>
        <w:gridCol w:w="112"/>
        <w:gridCol w:w="217"/>
        <w:gridCol w:w="634"/>
        <w:gridCol w:w="112"/>
        <w:gridCol w:w="109"/>
        <w:gridCol w:w="109"/>
        <w:gridCol w:w="109"/>
        <w:gridCol w:w="211"/>
        <w:gridCol w:w="616"/>
        <w:gridCol w:w="109"/>
        <w:gridCol w:w="109"/>
        <w:gridCol w:w="109"/>
        <w:gridCol w:w="109"/>
        <w:gridCol w:w="211"/>
        <w:gridCol w:w="616"/>
        <w:gridCol w:w="154"/>
      </w:tblGrid>
      <w:tr>
        <w:trPr/>
        <w:tc>
          <w:tcPr>
            <w:tcW w:w="917"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Revenue Stream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Segment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Revenue</w:t>
            </w:r>
          </w:p>
        </w:tc>
      </w:tr>
      <w:tr>
        <w:trPr/>
        <w:tc>
          <w:tcPr>
            <w:tcW w:w="253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3" w:type="dxa"/>
            <w:gridSpan w:val="21"/>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sales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Restaurant Group</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restaurant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Real estate and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Corporate and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operating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110.2 </w:t>
            </w:r>
          </w:p>
        </w:tc>
        <w:tc>
          <w:tcPr>
            <w:tcW w:w="11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Restaurant revenue consists of restaurant sales and, to a lesser extent, franchise revenue and other revenue. Restaurant sales including food and beverage sales, are net of applicable state and local sales taxes and discounts, and are recognized at a point in time as services are performed and goods are provided.</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our restaurant and other operating revenues are generated in the United States.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i/>
          <w:color w:val="000000"/>
          <w:sz w:val="20"/>
        </w:rPr>
      </w:pPr>
      <w:r>
        <w:rPr>
          <w:rFonts w:ascii="Times New Roman;serif" w:hAnsi="Times New Roman;serif"/>
          <w:b/>
          <w:i/>
          <w:color w:val="000000"/>
          <w:sz w:val="20"/>
        </w:rPr>
        <w:t>Contract Balances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trade receivables and deferred revenue:</w:t>
      </w:r>
    </w:p>
    <w:tbl>
      <w:tblPr>
        <w:tblW w:w="6146" w:type="dxa"/>
        <w:jc w:val="center"/>
        <w:tblInd w:w="0" w:type="dxa"/>
        <w:tblLayout w:type="fixed"/>
        <w:tblCellMar>
          <w:top w:w="28" w:type="dxa"/>
          <w:left w:w="28" w:type="dxa"/>
          <w:bottom w:w="28" w:type="dxa"/>
          <w:right w:w="28" w:type="dxa"/>
        </w:tblCellMar>
      </w:tblPr>
      <w:tblGrid>
        <w:gridCol w:w="1139"/>
        <w:gridCol w:w="1002"/>
        <w:gridCol w:w="1009"/>
        <w:gridCol w:w="327"/>
        <w:gridCol w:w="629"/>
        <w:gridCol w:w="169"/>
        <w:gridCol w:w="109"/>
        <w:gridCol w:w="109"/>
        <w:gridCol w:w="109"/>
        <w:gridCol w:w="422"/>
        <w:gridCol w:w="812"/>
        <w:gridCol w:w="310"/>
      </w:tblGrid>
      <w:tr>
        <w:trPr/>
        <w:tc>
          <w:tcPr>
            <w:tcW w:w="11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3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3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 (contract liabilities)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Trade receivables, net are included in Other current assets on our Condensed Consolidated Balance Sheets.</w:t>
      </w:r>
    </w:p>
    <w:p>
      <w:pPr>
        <w:pStyle w:val="TextBody"/>
        <w:bidi w:val="0"/>
        <w:spacing w:lineRule="auto" w:line="288" w:before="120" w:after="120"/>
        <w:ind w:left="0" w:right="0" w:firstLine="360"/>
        <w:jc w:val="both"/>
        <w:rPr/>
      </w:pPr>
      <w:r>
        <w:rPr>
          <w:rFonts w:ascii="Times New Roman;serif" w:hAnsi="Times New Roman;serif"/>
          <w:b w:val="false"/>
          <w:color w:val="000000"/>
          <w:sz w:val="20"/>
        </w:rPr>
        <w:t xml:space="preserve">Deferred revenue is recorded primarily for restaurant gift card sales. With the Exeter Acquisition, the deferred revenue also includes match day tickets, season tickets, corporate boxes, VIP memberships, and sponsorships. The unrecognized portion of such revenue is recorded as Deferred revenue in the Condensed Consolidated Balance Sheets. Revenues of $2.2 million and $2.3 million was recognized in the three months ended </w:t>
      </w:r>
      <w:r>
        <w:rPr>
          <w:rFonts w:ascii="Times New Roman;serif" w:hAnsi="Times New Roman;serif"/>
          <w:b w:val="false"/>
          <w:color w:val="000000"/>
          <w:sz w:val="20"/>
          <w:shd w:fill="FFFFFF" w:val="clear"/>
        </w:rPr>
        <w:t>June 30, 2026 and</w:t>
      </w:r>
      <w:r>
        <w:rPr>
          <w:color w:val="000000"/>
        </w:rPr>
        <w:t xml:space="preserve">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xml:space="preserve">, respectively, and $3.6 million for each of the six month periods ended </w:t>
      </w:r>
      <w:r>
        <w:rPr>
          <w:rFonts w:ascii="Times New Roman;serif" w:hAnsi="Times New Roman;serif"/>
          <w:b w:val="false"/>
          <w:color w:val="000000"/>
          <w:sz w:val="20"/>
          <w:shd w:fill="FFFFFF" w:val="clear"/>
        </w:rPr>
        <w:t>June 30, 2026 and</w:t>
      </w:r>
      <w:r>
        <w:rPr>
          <w:color w:val="000000"/>
        </w:rPr>
        <w:t xml:space="preserve"> </w:t>
      </w:r>
      <w:r>
        <w:rPr>
          <w:rFonts w:ascii="Times New Roman;serif" w:hAnsi="Times New Roman;serif"/>
          <w:b w:val="false"/>
          <w:color w:val="000000"/>
          <w:sz w:val="20"/>
          <w:shd w:fill="FFFFFF" w:val="clear"/>
        </w:rPr>
        <w:t>2025</w:t>
      </w:r>
      <w:r>
        <w:rPr>
          <w:rFonts w:ascii="Times New Roman;serif" w:hAnsi="Times New Roman;serif"/>
          <w:b w:val="false"/>
          <w:color w:val="000000"/>
          <w:sz w:val="20"/>
        </w:rPr>
        <w:t>, respectively, that was included in Deferred revenue at the beginning of the period.</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was no impairment related to contract balances.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Note G — Notes Payable</w:t>
      </w:r>
    </w:p>
    <w:p>
      <w:pPr>
        <w:pStyle w:val="TextBody"/>
        <w:bidi w:val="0"/>
        <w:spacing w:lineRule="auto" w:line="288" w:before="120" w:after="120"/>
        <w:ind w:left="0" w:right="0" w:firstLine="315"/>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Notes payable, net consists of the following:</w:t>
      </w:r>
    </w:p>
    <w:tbl>
      <w:tblPr>
        <w:tblW w:w="5722" w:type="dxa"/>
        <w:jc w:val="left"/>
        <w:tblInd w:w="0" w:type="dxa"/>
        <w:tblLayout w:type="fixed"/>
        <w:tblCellMar>
          <w:top w:w="28" w:type="dxa"/>
          <w:left w:w="28" w:type="dxa"/>
          <w:bottom w:w="28" w:type="dxa"/>
          <w:right w:w="28" w:type="dxa"/>
        </w:tblCellMar>
      </w:tblPr>
      <w:tblGrid>
        <w:gridCol w:w="869"/>
        <w:gridCol w:w="763"/>
        <w:gridCol w:w="768"/>
        <w:gridCol w:w="109"/>
        <w:gridCol w:w="109"/>
        <w:gridCol w:w="109"/>
        <w:gridCol w:w="285"/>
        <w:gridCol w:w="692"/>
        <w:gridCol w:w="147"/>
        <w:gridCol w:w="109"/>
        <w:gridCol w:w="109"/>
        <w:gridCol w:w="109"/>
        <w:gridCol w:w="372"/>
        <w:gridCol w:w="901"/>
        <w:gridCol w:w="271"/>
      </w:tblGrid>
      <w:tr>
        <w:trPr/>
        <w:tc>
          <w:tcPr>
            <w:tcW w:w="86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2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FNF Revolver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Exeter 2027 bond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4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2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Notes payable,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 long 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64.5 </w:t>
            </w:r>
          </w:p>
        </w:tc>
        <w:tc>
          <w:tcPr>
            <w:tcW w:w="2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2020 Margin Facility</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November 30, 2020, Cannae Funding C, LLC ("Borrower 1"), an indirect wholly-owned special purpose subsidiary of the Company, and Cannae Funding D, LLC ("Borrower 2"), an indirect wholly-owned special purpose subsidiary of the Company, entered into a Margin Loan Agreement (as amended from time to time, the "2020 Margin Facility") with the lenders from time to time party thereto and Royal Bank of Canada. On June 16, 2023, the 2020 Margin Facility was amended to, among other things, lower the immediate capacity from $250 million to $150 million. On August 17, 2023, the 2020 Margin Facility was amended to, among other things, (i) extend the maturity of the agreement to August 17, 2026, (ii) add 40 million shares of common stock of Alight to the pool of collateral, (iii) change the spread from 358 to 375 basis points and (iv) add Cannae Funding A, LLC ("Borrower 3" and together with Borrower 1 and Borrower 2, the "Borrowers"), an indirect wholly-owned special purpose subsidiary of the Company. On March 4, 2024, the 2020 Margin Facility was amended primarily to (i) assign the facility from Royal Bank of Canada to Bank of America, (ii) extend the maturity date to March 4, 2027 and (iii) change the spread from 375 to 310 basis points.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2, 2025, we borrowed an additional $40.0 million under the 2020 Margin Facility. On August 26, 2025, we paid off the entire balance of the 2020 Margin Facility in conjunction with the closing of D&amp;B's definitive agreement to be acquired by Clearlake Capital Group, L.P. (the "D&amp;B Sale"). On August 27, 2025, the 2020 Margin Facility was amended primarily to (i) remove the Company's prior holdings of D&amp;B from the collateral pool, (ii) reduce the capacity of the Margin Loan from $150.0 million to $50.0 million, (iii) reduce the spread from 310 to 275 basis points and (iv) extend the maturity date to August 27, 2028.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6, 2026, the Company prepaid in full all outstanding obligations under the 2020 Margin Facility and terminated the Margin Loan Agreement. There were no outstanding principal or interest advances under the Margin Loan Agreement as of the termination date and the 40 million shares of Alight that were pledged as collateral for borrowings were delivered back to the Company.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FNF Revolver</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17, 2017, Fidelity National Financial, Inc. ("FNF") issued to Cannae a revolver note in aggregate principal amount of up to $100.0 million. On May 12, 2022, FNF and Cannae amended and restated the revolver note to, among other things, limit the use of proceeds for borrowings thereunder to the repurchase of our own shares of common stock from FNF (as amended and restated, the "FNF Revolver"). Pursuant to the FNF Revolver, FNF may make one or more loans to us with up to $100.0 million outstanding at any time. The FNF Revolver accrues interest at one-month adjusted SOFR plus 450 basis points and matures on November 17, 2025. The maturity date is automatically extended for additional five-year terms unless notice of non-renewal is otherwise provided by either FNF or Cannae, in their sole discretion.</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28, 2022, we completed the repurchase of all of our common stock previously held by FNF; accordingly, there is no incremental borrowing capacity available under the FNF Revolver. On January 29, 2024, the FNF Revolver was amended to (i) reduce the borrowing capacity to $60.0 million and (ii) change the interest rate to a fixed rate of 7.0% per annum. The Company also repaid $25.0 million of outstanding principal under the FNF Revolver.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20, 2025, the FNF Revolver was amended to (i) reduce the borrowing capacity to $47.5 million, (ii) change the interest rate to a fixed rate of 5.0% per annum, and (3) extend the maturity date to November 17, 2030 with the maturity date automatically extended for additional one-year terms unless notice of non-renewal is otherwise provided by either FNF or Cannae, in their sole discretion. In the year ended December 31, 2025, the Company also sold real estate to FNF in exchange for a $12.2 million reduction of outstanding principal under the FNF Revolver.</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there was a $47.5 million outstanding principal amount which incurred interest at 5.0% and there is no available borrowing capacity under the FNF Revolver.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Exeter Rugby</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Exeter Acquisition, Black Knight Rugby assumed two unsecured debentures previously issued by Exeter that remained outstanding following the transaction. Other Exeter-level indebtedness outstanding prior to the acquisition was repaid concurrently with the closing of the transaction.</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150th debenture is due to mature in November 2031 and bears a nominal interest rate of 0% as the holders of the debenture are entitled to a 15% discount on the value of a season ticket in lieu of cash interest. The carrying amount assumed at acquisition was approximately $3.2 million.</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2027 bond matures on November 30, 2027 and bears a nominal interest rate of 5.5%. The carrying amount assumed at acquisition was approximately $13.8 million.</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aggregate, these two instruments represent the $17.0 million of notes payable reflected in the preliminary purchase price allocation. Both instruments were recorded at their assumed fair value as of the acquisition date, which approximated carrying value given the debentures' terms. This fair value is preliminary and subject to change as the Company finalizes its purchase price allocation.</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See Note L - </w:t>
      </w:r>
      <w:r>
        <w:rPr>
          <w:rFonts w:ascii="Times New Roman;serif" w:hAnsi="Times New Roman;serif"/>
          <w:b w:val="false"/>
          <w:i/>
          <w:color w:val="000000"/>
          <w:sz w:val="20"/>
        </w:rPr>
        <w:t>Acquisitions</w:t>
      </w:r>
      <w:r>
        <w:rPr>
          <w:color w:val="000000"/>
        </w:rPr>
        <w:t xml:space="preserve"> </w:t>
      </w:r>
      <w:r>
        <w:rPr>
          <w:rFonts w:ascii="Times New Roman;serif" w:hAnsi="Times New Roman;serif"/>
          <w:b w:val="false"/>
          <w:color w:val="000000"/>
          <w:sz w:val="20"/>
        </w:rPr>
        <w:t>for further discussion of our accounting of the Exeter Acquisition.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principal maturities of notes payable at June 30, 2026 are as follows (in millions):</w:t>
      </w:r>
    </w:p>
    <w:tbl>
      <w:tblPr>
        <w:tblW w:w="2405" w:type="dxa"/>
        <w:jc w:val="left"/>
        <w:tblInd w:w="0" w:type="dxa"/>
        <w:tblLayout w:type="fixed"/>
        <w:tblCellMar>
          <w:top w:w="28" w:type="dxa"/>
          <w:left w:w="28" w:type="dxa"/>
          <w:bottom w:w="28" w:type="dxa"/>
          <w:right w:w="28" w:type="dxa"/>
        </w:tblCellMar>
      </w:tblPr>
      <w:tblGrid>
        <w:gridCol w:w="553"/>
        <w:gridCol w:w="486"/>
        <w:gridCol w:w="490"/>
        <w:gridCol w:w="211"/>
        <w:gridCol w:w="511"/>
        <w:gridCol w:w="154"/>
      </w:tblGrid>
      <w:tr>
        <w:trPr/>
        <w:tc>
          <w:tcPr>
            <w:tcW w:w="553"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29" w:type="dxa"/>
            <w:gridSpan w:val="3"/>
            <w:tcBorders/>
            <w:vAlign w:val="center"/>
          </w:tcPr>
          <w:p>
            <w:pPr>
              <w:pStyle w:val="TableContents"/>
              <w:bidi w:val="0"/>
              <w:spacing w:before="0" w:after="283"/>
              <w:jc w:val="left"/>
              <w:rPr>
                <w:sz w:val="4"/>
                <w:szCs w:val="4"/>
              </w:rPr>
            </w:pPr>
            <w:r>
              <w:rPr>
                <w:sz w:val="4"/>
                <w:szCs w:val="4"/>
              </w:rPr>
            </w:r>
          </w:p>
        </w:tc>
        <w:tc>
          <w:tcPr>
            <w:tcW w:w="876" w:type="dxa"/>
            <w:gridSpan w:val="3"/>
            <w:tcBorders/>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June 30, 2026, the carrying value of our outstanding notes payable approximates fair value and are considered Level 2 financial liabilities.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 xml:space="preserve">Note H — Commitments and Contingencies </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Legal Contingencies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we are involved in various pending and threatened litigation and regulatory matters related to our operations, some of which include claims for punitive or exemplary damages. Our ordinary course litigation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includes purported class action lawsuits, which make allegations related to various aspects of our business. From time to time, we also receive requests for information from various state and federal regulatory authorities, some of which take the form of civil investigative demands or subpoenas. Some of these regulatory inquiries may result in the assessment of fines for violations of regulations or settlements with such authorities requiring a variety of remedies. We believe that no actions, other than those discussed below, if any, depart from customary litigation or regulatory inquiries incidental to our business.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Restaurant Group companies are a defendant from time to time in various legal proceedings arising in the ordinary course of business, including claims relating to injury or wrongful death under "dram shop" laws that allow a person to sue us based on any injury caused by an intoxicated person who was wrongfully served alcoholic beverages at one of the restaurants; individual and purported class or collective action claims alleging violation of federal and state employment, franchise and other laws; and claims from guests or employees alleging illness, injury or other food quality, health or operational concerns. Our Restaurant Group companies are also subject to compliance with extensive government laws and regulations related to employment practices and policies and the manufacture, preparation, and sale of food and alcohol. We may also become subject to lawsuits and other proceedings, as well as card network fines and penalties arising out of the actual or alleged theft of our customers' credit or debit card information.</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review lawsuits and other legal and regulatory matters (collectively "legal proceedings") on an ongoing basis when making accrual and disclosure decisions. When assessing reasonably possible and probable outcomes, management bases its decision on its assessment of the ultimate outcome assuming all appeals have been exhausted. For legal proceedings in which it has been determined that a loss is both probable and reasonably estimable, a liability based on known facts that represents our best estimate is recorded. As of June 30, 2026 and December 31, 2025, our accrual for settlements of legal proceedings was not considered material. Actual losses may materially differ from the amounts recorded and the ultimate outcome of our pending legal proceedings is generally not yet determinable. While some of these matters could be material to our operating results or cash flows for any particular period in the event of an unfavorable outcome, at present, we do not believe that the ultimate resolution of currently pending legal proceedings, either individually or in the aggregate, will have a material adverse effect on our financial condition, results of operations or cash flows.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October 23, 2025, a putative class action lawsuit was filed in the Delaware Court of Chancery under the caption, New England Teamsters Pension Fund and Daniel Clark v. William P. Foley II, Anthony M. Jabbour, Thomas M. Hagerty, Douglas K. Ammerman, and Cannae Holdings, Inc., C.A. No. 2025-1220. The plaintiffs allege that the individual defendants, each of whom served as an officer and/or director of D&amp;B at the relevant time, breached their fiduciary duties in connection with the August 26, 2025 sale of D&amp;B to a private equity firm. Specifically, the complaint asserts that the transaction undervalued D&amp;B's stock, resulting in inadequate cash consideration for its stockholders. The plaintiffs further allege that certain of the individual defendants' knowledge should be imputed to the Company, and on that basis, include a claim against the Company for aiding and abetting the alleged breaches of fiduciary duty. The plaintiffs seek declaratory judgment, monetary damages, and other equitable relief. They also seek to certify a class comprising all former D&amp;B stockholders who exchanged their shares for cash in the transaction, excluding the defendants and any individuals who were officers or directors of D&amp;B at the time the transaction closed. On January 12, 2026, the Company filed a motion to dismiss the complaint. The motion is fully briefed and set for hearing on November 10, 2026. The Company intends to vigorously defend against the claims asserted in the litigation.</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Unconditional Purchase Obligations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have certain unconditional purchase obligations, primarily in our Restaurant Group segment. These purchase obligations are with various vendors and are primarily related to food and beverage obligations with fixed commitments in regard to the time period of the contract and the quantities purchased with annual price adjustments that can fluctuate. We used both historical and projected volume and pricing as of June 30, 2026 to determine the amount of the obligations. Purchase obligations as of June 30, 2026 are as follows (in millions):</w:t>
      </w:r>
    </w:p>
    <w:tbl>
      <w:tblPr>
        <w:tblW w:w="3336" w:type="dxa"/>
        <w:jc w:val="center"/>
        <w:tblInd w:w="0" w:type="dxa"/>
        <w:tblLayout w:type="fixed"/>
        <w:tblCellMar>
          <w:top w:w="28" w:type="dxa"/>
          <w:left w:w="28" w:type="dxa"/>
          <w:bottom w:w="28" w:type="dxa"/>
          <w:right w:w="28" w:type="dxa"/>
        </w:tblCellMar>
      </w:tblPr>
      <w:tblGrid>
        <w:gridCol w:w="890"/>
        <w:gridCol w:w="782"/>
        <w:gridCol w:w="788"/>
        <w:gridCol w:w="211"/>
        <w:gridCol w:w="511"/>
        <w:gridCol w:w="154"/>
      </w:tblGrid>
      <w:tr>
        <w:trPr/>
        <w:tc>
          <w:tcPr>
            <w:tcW w:w="89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2026 (remaining)</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Thereafter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purchase commitments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Other Contingencies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May 12, 2025, we entered into an agreement to acquire an additional 30% ownership interest in JANA Partners in exchange for an upfront payment of $67.5 million and potential further payments aggregating to $26.0 million if JANA Partners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achieves certain assets under management ("AUM") thresholds by certain dates (the "JANA Contingent Consideration"). The total potential liability of $26.0 million for the JANA Contingent Consideration is bifurcated into two tranches as follows: (1) a payment of $16.0 million if JANA Partners achieves an AUM threshold from September 2026 through December 2028 (the "Initial Payment") and (2) a payment of $10 million if JANA Partners achieves an AUM threshold as of December 31, 2028 (the "Additional Payment"). We consider the Initial Payment probable and have included $16.0 million in the basis of our investment in JANA Partners and a corresponding liability in Accounts payable and other accrued liabilities, current in our Condensed Consolidated Balance Sheet as of June 30, 2026. We do not consider the Additional Payment to be probable as of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hanging="1440"/>
        <w:jc w:val="left"/>
        <w:rPr>
          <w:rFonts w:ascii="Times New Roman;serif" w:hAnsi="Times New Roman;serif"/>
          <w:b/>
          <w:color w:val="000000"/>
          <w:sz w:val="20"/>
        </w:rPr>
      </w:pPr>
      <w:r>
        <w:rPr>
          <w:rFonts w:ascii="Times New Roman;serif" w:hAnsi="Times New Roman;serif"/>
          <w:b/>
          <w:color w:val="000000"/>
          <w:sz w:val="20"/>
        </w:rPr>
        <w:t>Note I — Supplemental Cash Flow Information</w:t>
      </w:r>
    </w:p>
    <w:p>
      <w:pPr>
        <w:pStyle w:val="TextBody"/>
        <w:bidi w:val="0"/>
        <w:spacing w:lineRule="auto" w:line="276" w:before="120" w:after="120"/>
        <w:ind w:left="0" w:right="0" w:firstLine="360"/>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supplemental cash flow information is provided with respect to certain cash payments, as well as certain non-cash investing and financing activities.</w:t>
      </w:r>
    </w:p>
    <w:tbl>
      <w:tblPr>
        <w:tblW w:w="8210" w:type="dxa"/>
        <w:jc w:val="left"/>
        <w:tblInd w:w="0" w:type="dxa"/>
        <w:tblLayout w:type="fixed"/>
        <w:tblCellMar>
          <w:top w:w="28" w:type="dxa"/>
          <w:left w:w="28" w:type="dxa"/>
          <w:bottom w:w="28" w:type="dxa"/>
          <w:right w:w="28" w:type="dxa"/>
        </w:tblCellMar>
      </w:tblPr>
      <w:tblGrid>
        <w:gridCol w:w="2104"/>
        <w:gridCol w:w="1849"/>
        <w:gridCol w:w="1866"/>
        <w:gridCol w:w="109"/>
        <w:gridCol w:w="109"/>
        <w:gridCol w:w="109"/>
        <w:gridCol w:w="239"/>
        <w:gridCol w:w="460"/>
        <w:gridCol w:w="123"/>
        <w:gridCol w:w="123"/>
        <w:gridCol w:w="123"/>
        <w:gridCol w:w="123"/>
        <w:gridCol w:w="239"/>
        <w:gridCol w:w="460"/>
        <w:gridCol w:w="174"/>
      </w:tblGrid>
      <w:tr>
        <w:trPr/>
        <w:tc>
          <w:tcPr>
            <w:tcW w:w="2104" w:type="dxa"/>
            <w:tcBorders/>
            <w:vAlign w:val="center"/>
          </w:tcPr>
          <w:p>
            <w:pPr>
              <w:pStyle w:val="TableContents"/>
              <w:bidi w:val="0"/>
              <w:spacing w:before="0" w:after="283"/>
              <w:jc w:val="left"/>
              <w:rPr>
                <w:sz w:val="4"/>
                <w:szCs w:val="4"/>
              </w:rPr>
            </w:pPr>
            <w:r>
              <w:rPr>
                <w:sz w:val="4"/>
                <w:szCs w:val="4"/>
              </w:rPr>
            </w:r>
          </w:p>
        </w:tc>
        <w:tc>
          <w:tcPr>
            <w:tcW w:w="1849" w:type="dxa"/>
            <w:tcBorders/>
            <w:vAlign w:val="center"/>
          </w:tcPr>
          <w:p>
            <w:pPr>
              <w:pStyle w:val="TableContents"/>
              <w:bidi w:val="0"/>
              <w:spacing w:before="0" w:after="283"/>
              <w:jc w:val="left"/>
              <w:rPr>
                <w:sz w:val="4"/>
                <w:szCs w:val="4"/>
              </w:rPr>
            </w:pPr>
            <w:r>
              <w:rPr>
                <w:sz w:val="4"/>
                <w:szCs w:val="4"/>
              </w:rPr>
            </w:r>
          </w:p>
        </w:tc>
        <w:tc>
          <w:tcPr>
            <w:tcW w:w="1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during the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investing and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Fulfillment received as consideration in the WD Transaction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Exchange of real estate as repayment of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r>
        <w:trPr/>
        <w:tc>
          <w:tcPr>
            <w:tcW w:w="58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2" w:type="dxa"/>
            <w:gridSpan w:val="3"/>
            <w:tcBorders/>
            <w:vAlign w:val="center"/>
          </w:tcPr>
          <w:p>
            <w:pPr>
              <w:pStyle w:val="TableContents"/>
              <w:bidi w:val="0"/>
              <w:spacing w:before="0" w:after="283"/>
              <w:jc w:val="left"/>
              <w:rPr>
                <w:sz w:val="4"/>
                <w:szCs w:val="4"/>
              </w:rPr>
            </w:pPr>
            <w:r>
              <w:rPr>
                <w:sz w:val="4"/>
                <w:szCs w:val="4"/>
              </w:rPr>
            </w:r>
          </w:p>
        </w:tc>
        <w:tc>
          <w:tcPr>
            <w:tcW w:w="369" w:type="dxa"/>
            <w:gridSpan w:val="3"/>
            <w:tcBorders/>
            <w:vAlign w:val="center"/>
          </w:tcPr>
          <w:p>
            <w:pPr>
              <w:pStyle w:val="TableContents"/>
              <w:bidi w:val="0"/>
              <w:spacing w:before="0" w:after="283"/>
              <w:jc w:val="left"/>
              <w:rPr>
                <w:sz w:val="4"/>
                <w:szCs w:val="4"/>
              </w:rPr>
            </w:pPr>
            <w:r>
              <w:rPr>
                <w:sz w:val="4"/>
                <w:szCs w:val="4"/>
              </w:rPr>
            </w:r>
          </w:p>
        </w:tc>
        <w:tc>
          <w:tcPr>
            <w:tcW w:w="873"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Note J — Discontinued Operations</w:t>
      </w: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Dun &amp; Bradstreet</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24, 2025, Dun &amp; Bradstreet ("D&amp;B") entered into a definitive agreement to be acquired (the "D&amp;B Sale"). As a result of the transaction, D&amp;B is presented as a discontinued operation in our Consolidated Financial Statements for the year ended December 31, 2025. Through the date of the D&amp;B Disposition (as defined below), we continued to exert significant influence over D&amp;B and therefore we continued to account for this investment under the equity method of accounting. As a result of the reclassification of our investment in D&amp;B as held for sale and a discontinued operation, we marked our investment in D&amp;B to the fair market value implied by the stock price beginning as of March 31, 2025 and recorded an impairment of $68.1 million in the six months ended June 30, 2025, which is included in Net losses from discontinued operations, net of tax on our Condensed Consolidated Statement of Operations.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August 26, 2025, the D&amp;B Sale closed and Cannae completed the disposition of its ownership interests in D&amp;B for aggregate proceeds of $540.3 million in cash in exchange for our remaining 59,048,691 shares of common stock (the "D&amp;B Disposition"). Following the consummation of the D&amp;B Disposition, Cannae no longer has any ownership interest in D&amp;B.</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operations of D&amp;B to the Condensed Consolidated Statement of Operations is presented below :</w:t>
      </w:r>
    </w:p>
    <w:tbl>
      <w:tblPr>
        <w:tblW w:w="10205" w:type="dxa"/>
        <w:jc w:val="left"/>
        <w:tblInd w:w="0" w:type="dxa"/>
        <w:tblLayout w:type="fixed"/>
        <w:tblCellMar>
          <w:top w:w="28" w:type="dxa"/>
          <w:left w:w="28" w:type="dxa"/>
          <w:bottom w:w="28" w:type="dxa"/>
          <w:right w:w="28" w:type="dxa"/>
        </w:tblCellMar>
      </w:tblPr>
      <w:tblGrid>
        <w:gridCol w:w="1610"/>
        <w:gridCol w:w="1402"/>
        <w:gridCol w:w="1404"/>
        <w:gridCol w:w="109"/>
        <w:gridCol w:w="109"/>
        <w:gridCol w:w="109"/>
        <w:gridCol w:w="589"/>
        <w:gridCol w:w="1634"/>
        <w:gridCol w:w="303"/>
        <w:gridCol w:w="109"/>
        <w:gridCol w:w="109"/>
        <w:gridCol w:w="109"/>
        <w:gridCol w:w="109"/>
        <w:gridCol w:w="109"/>
        <w:gridCol w:w="530"/>
        <w:gridCol w:w="1471"/>
        <w:gridCol w:w="390"/>
      </w:tblGrid>
      <w:tr>
        <w:trPr/>
        <w:tc>
          <w:tcPr>
            <w:tcW w:w="1610"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4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gridSpan w:val="3"/>
            <w:tcBorders/>
            <w:vAlign w:val="center"/>
          </w:tcPr>
          <w:p>
            <w:pPr>
              <w:pStyle w:val="TableContents"/>
              <w:bidi w:val="0"/>
              <w:spacing w:before="0" w:after="283"/>
              <w:jc w:val="left"/>
              <w:rPr>
                <w:sz w:val="4"/>
                <w:szCs w:val="4"/>
              </w:rPr>
            </w:pPr>
            <w:r>
              <w:rPr>
                <w:sz w:val="4"/>
                <w:szCs w:val="4"/>
              </w:rPr>
            </w:r>
          </w:p>
        </w:tc>
      </w:tr>
      <w:tr>
        <w:trPr/>
        <w:tc>
          <w:tcPr>
            <w:tcW w:w="44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62"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500" w:type="dxa"/>
            <w:gridSpan w:val="4"/>
            <w:tcBorders/>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w:t>
            </w:r>
          </w:p>
        </w:tc>
        <w:tc>
          <w:tcPr>
            <w:tcW w:w="3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losses of unconsolidated affiliates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0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 (benefit)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30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(87.3)</w:t>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statement of operations information for D&amp;B for the relevant dates and time periods included in Net losses from discontinued operations, net of tax in our Statements of Operations is presented below: </w:t>
      </w:r>
    </w:p>
    <w:tbl>
      <w:tblPr>
        <w:tblW w:w="10030" w:type="dxa"/>
        <w:jc w:val="center"/>
        <w:tblInd w:w="0" w:type="dxa"/>
        <w:tblLayout w:type="fixed"/>
        <w:tblCellMar>
          <w:top w:w="28" w:type="dxa"/>
          <w:left w:w="28" w:type="dxa"/>
          <w:bottom w:w="28" w:type="dxa"/>
          <w:right w:w="28" w:type="dxa"/>
        </w:tblCellMar>
      </w:tblPr>
      <w:tblGrid>
        <w:gridCol w:w="1508"/>
        <w:gridCol w:w="1327"/>
        <w:gridCol w:w="1334"/>
        <w:gridCol w:w="109"/>
        <w:gridCol w:w="109"/>
        <w:gridCol w:w="591"/>
        <w:gridCol w:w="1728"/>
        <w:gridCol w:w="305"/>
        <w:gridCol w:w="109"/>
        <w:gridCol w:w="109"/>
        <w:gridCol w:w="109"/>
        <w:gridCol w:w="109"/>
        <w:gridCol w:w="109"/>
        <w:gridCol w:w="461"/>
        <w:gridCol w:w="1676"/>
        <w:gridCol w:w="337"/>
      </w:tblGrid>
      <w:tr>
        <w:trPr/>
        <w:tc>
          <w:tcPr>
            <w:tcW w:w="150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r>
      <w:tr>
        <w:trPr/>
        <w:tc>
          <w:tcPr>
            <w:tcW w:w="416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4" w:type="dxa"/>
            <w:gridSpan w:val="3"/>
            <w:tcBorders/>
            <w:vAlign w:val="center"/>
          </w:tcPr>
          <w:p>
            <w:pPr>
              <w:pStyle w:val="TableContents"/>
              <w:bidi w:val="0"/>
              <w:spacing w:before="0" w:after="283"/>
              <w:jc w:val="left"/>
              <w:rPr>
                <w:sz w:val="4"/>
                <w:szCs w:val="4"/>
              </w:rPr>
            </w:pPr>
            <w:r>
              <w:rPr>
                <w:sz w:val="4"/>
                <w:szCs w:val="4"/>
              </w:rPr>
            </w:r>
          </w:p>
        </w:tc>
      </w:tr>
      <w:tr>
        <w:trPr/>
        <w:tc>
          <w:tcPr>
            <w:tcW w:w="41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60" w:type="dxa"/>
            <w:gridSpan w:val="7"/>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2583" w:type="dxa"/>
            <w:gridSpan w:val="4"/>
            <w:tcBorders/>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2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585.2 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1,165.0 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D&amp;B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pPr>
      <w:r>
        <w:rPr>
          <w:rFonts w:ascii="Times New Roman;serif" w:hAnsi="Times New Roman;serif"/>
          <w:b w:val="false"/>
          <w:color w:val="000000"/>
          <w:sz w:val="20"/>
        </w:rPr>
        <w:t>For the six months ended June 30, 2025</w:t>
      </w:r>
      <w:r>
        <w:rPr>
          <w:rFonts w:ascii="Times New Roman;serif" w:hAnsi="Times New Roman;serif"/>
          <w:b w:val="false"/>
          <w:color w:val="000000"/>
          <w:sz w:val="20"/>
          <w:shd w:fill="FFFFFF" w:val="clear"/>
        </w:rPr>
        <w:t>, we received quarterly cash dividends from D&amp;B in the amount of</w:t>
      </w:r>
      <w:r>
        <w:rPr>
          <w:color w:val="000000"/>
        </w:rPr>
        <w:t xml:space="preserve"> </w:t>
      </w:r>
      <w:r>
        <w:rPr>
          <w:rFonts w:ascii="Times New Roman;serif" w:hAnsi="Times New Roman;serif"/>
          <w:b w:val="false"/>
          <w:color w:val="000000"/>
          <w:sz w:val="20"/>
        </w:rPr>
        <w:t xml:space="preserve">$3.5 million which are included in Distributions from investments in unconsolidated affiliates on the Condensed Consolidated Statements of Cash Flows.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Note K — Assets Held for Sale</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six months ended June 30, 2026, the Company began the process of disposing of Brasada and as a result, we have classified the assets and liabilities of Brasada as assets and liabilities held for sale on our Condensed Consolidated Balance Sheet as of June 30, 2026. On July 15, 2026, the Brasada Sale closed.</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carrying amounts of the major classes of assets and liabilities included as part of the disposal groups classified as held for sale is presented below:</w:t>
      </w:r>
    </w:p>
    <w:tbl>
      <w:tblPr>
        <w:tblW w:w="5381" w:type="dxa"/>
        <w:jc w:val="left"/>
        <w:tblInd w:w="0" w:type="dxa"/>
        <w:tblLayout w:type="fixed"/>
        <w:tblCellMar>
          <w:top w:w="28" w:type="dxa"/>
          <w:left w:w="28" w:type="dxa"/>
          <w:bottom w:w="28" w:type="dxa"/>
          <w:right w:w="28" w:type="dxa"/>
        </w:tblCellMar>
      </w:tblPr>
      <w:tblGrid>
        <w:gridCol w:w="1403"/>
        <w:gridCol w:w="1236"/>
        <w:gridCol w:w="1245"/>
        <w:gridCol w:w="109"/>
        <w:gridCol w:w="109"/>
        <w:gridCol w:w="109"/>
        <w:gridCol w:w="282"/>
        <w:gridCol w:w="683"/>
        <w:gridCol w:w="205"/>
      </w:tblGrid>
      <w:tr>
        <w:trPr/>
        <w:tc>
          <w:tcPr>
            <w:tcW w:w="1403" w:type="dxa"/>
            <w:tcBorders/>
            <w:vAlign w:val="center"/>
          </w:tcPr>
          <w:p>
            <w:pPr>
              <w:pStyle w:val="TableContents"/>
              <w:bidi w:val="0"/>
              <w:spacing w:before="0" w:after="283"/>
              <w:jc w:val="left"/>
              <w:rPr>
                <w:sz w:val="4"/>
                <w:szCs w:val="4"/>
              </w:rPr>
            </w:pPr>
            <w:r>
              <w:rPr>
                <w:sz w:val="4"/>
                <w:szCs w:val="4"/>
              </w:rPr>
            </w:r>
          </w:p>
        </w:tc>
        <w:tc>
          <w:tcPr>
            <w:tcW w:w="1236"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r>
      <w:tr>
        <w:trPr/>
        <w:tc>
          <w:tcPr>
            <w:tcW w:w="3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receivables,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37.2 </w:t>
            </w:r>
          </w:p>
        </w:tc>
        <w:tc>
          <w:tcPr>
            <w:tcW w:w="20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and other accrued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0" w:type="dxa"/>
            <w:gridSpan w:val="3"/>
            <w:tcBorders/>
            <w:vAlign w:val="center"/>
          </w:tcPr>
          <w:p>
            <w:pPr>
              <w:pStyle w:val="TableContents"/>
              <w:bidi w:val="0"/>
              <w:spacing w:before="0" w:after="283"/>
              <w:jc w:val="left"/>
              <w:rPr>
                <w:sz w:val="4"/>
                <w:szCs w:val="4"/>
              </w:rPr>
            </w:pPr>
            <w:r>
              <w:rPr>
                <w:sz w:val="4"/>
                <w:szCs w:val="4"/>
              </w:rPr>
            </w:r>
          </w:p>
        </w:tc>
      </w:tr>
      <w:tr>
        <w:trPr/>
        <w:tc>
          <w:tcPr>
            <w:tcW w:w="3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20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25.5 </w:t>
            </w:r>
          </w:p>
        </w:tc>
        <w:tc>
          <w:tcPr>
            <w:tcW w:w="20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disposal group is measured at the lower of its carrying amount or fair value less costs to sell. Because the fair value less costs to sell exceed the carrying amount of Brasada, we did not need to record an impairment loss as a result of classifying Brasada as held for sale. Brasada is included in the Corporate and other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283"/>
        <w:jc w:val="left"/>
        <w:rPr>
          <w:rFonts w:ascii="Times New Roman;serif" w:hAnsi="Times New Roman;serif"/>
          <w:b/>
          <w:color w:val="000000"/>
          <w:sz w:val="20"/>
        </w:rPr>
      </w:pPr>
      <w:r>
        <w:rPr>
          <w:rFonts w:ascii="Times New Roman;serif" w:hAnsi="Times New Roman;serif"/>
          <w:b/>
          <w:color w:val="000000"/>
          <w:sz w:val="20"/>
        </w:rPr>
        <w:t>Note L — Acquisitions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June 29, 2026, Cannae completed the Exeter Acquisition. Total consideration transferred included $1 to purchase the equity of Exeter and $9.6 million to settle an outstanding loan of Exeter which was required to be paid as a result of our acquisition. Black Knight Rugby and Exeter also entered into an intercompany loan agreement of $26.0 million (the "Intercompany Loan"), which was funded at close of the Exeter Acquisition. Exeter used the proceeds from the Intercompany Loan to pay existing liabilities, including the settlement of the $9.6 million loan included in consideration transferred, and retained the remaining balance on its balance sheet. The Intercompany Loan eliminates upon consolidation in accordance with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lineRule="auto" w:line="288" w:before="360" w:after="283"/>
        <w:jc w:val="center"/>
        <w:rPr>
          <w:rFonts w:ascii="Times New Roman;serif" w:hAnsi="Times New Roman;serif"/>
          <w:b/>
          <w:color w:val="000000"/>
          <w:sz w:val="20"/>
        </w:rPr>
      </w:pPr>
      <w:r>
        <w:rPr>
          <w:rFonts w:ascii="Times New Roman;serif" w:hAnsi="Times New Roman;serif"/>
          <w:b/>
          <w:color w:val="000000"/>
          <w:sz w:val="20"/>
        </w:rPr>
        <w:t>CANNAE HOLDINGS, INC.</w:t>
      </w:r>
    </w:p>
    <w:p>
      <w:pPr>
        <w:pStyle w:val="TextBody"/>
        <w:bidi w:val="0"/>
        <w:spacing w:lineRule="auto" w:line="288" w:before="0" w:after="0"/>
        <w:jc w:val="center"/>
        <w:rPr/>
      </w:pPr>
      <w:r>
        <w:rPr>
          <w:rFonts w:ascii="Times New Roman;serif" w:hAnsi="Times New Roman;serif"/>
          <w:b/>
          <w:color w:val="000000"/>
          <w:sz w:val="20"/>
        </w:rPr>
        <w:t xml:space="preserve">NOTES TO CONDENSED CONSOLIDATED FINANCIAL STATEMENTS (UNAUDITED) — </w:t>
      </w:r>
      <w:r>
        <w:rPr>
          <w:rFonts w:ascii="Times New Roman;serif" w:hAnsi="Times New Roman;serif"/>
          <w:b/>
          <w:color w:val="000000"/>
          <w:sz w:val="19"/>
        </w:rPr>
        <w:t>continued</w:t>
      </w:r>
    </w:p>
    <w:p>
      <w:pPr>
        <w:pStyle w:val="TextBody"/>
        <w:bidi w:val="0"/>
        <w:spacing w:before="0" w:after="0"/>
        <w:jc w:val="center"/>
        <w:rPr/>
      </w:pPr>
      <w:r>
        <w:rPr/>
      </w:r>
    </w:p>
    <w:p>
      <w:pPr>
        <w:pStyle w:val="TextBody"/>
        <w:bidi w:val="0"/>
        <w:spacing w:lineRule="auto" w:line="276" w:before="120" w:after="120"/>
        <w:jc w:val="both"/>
        <w:rPr/>
      </w:pPr>
      <w:r>
        <w:rPr>
          <w:rFonts w:ascii="Times New Roman;serif" w:hAnsi="Times New Roman;serif"/>
          <w:b w:val="false"/>
          <w:color w:val="000000"/>
          <w:sz w:val="20"/>
        </w:rPr>
        <w:t xml:space="preserve">ASC 810, </w:t>
      </w:r>
      <w:r>
        <w:rPr>
          <w:rFonts w:ascii="Times New Roman;serif" w:hAnsi="Times New Roman;serif"/>
          <w:b w:val="false"/>
          <w:i/>
          <w:color w:val="000000"/>
          <w:sz w:val="20"/>
        </w:rPr>
        <w:t>Consolidation</w:t>
      </w:r>
      <w:r>
        <w:rPr>
          <w:rFonts w:ascii="Times New Roman;serif" w:hAnsi="Times New Roman;serif"/>
          <w:b w:val="false"/>
          <w:color w:val="000000"/>
          <w:sz w:val="20"/>
        </w:rPr>
        <w:t>. The Exeter Acquisition reflects the Company's continued strategy of concentrating its portfolio on sports and entertainment-related assets.</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The acquisition was accounted for as a business combination pursuant to ASC 805, </w:t>
      </w:r>
      <w:r>
        <w:rPr>
          <w:rFonts w:ascii="Times New Roman;serif" w:hAnsi="Times New Roman;serif"/>
          <w:b w:val="false"/>
          <w:i/>
          <w:color w:val="000000"/>
          <w:sz w:val="20"/>
        </w:rPr>
        <w:t>Business Combinations</w:t>
      </w:r>
      <w:r>
        <w:rPr>
          <w:rFonts w:ascii="Times New Roman;serif" w:hAnsi="Times New Roman;serif"/>
          <w:b w:val="false"/>
          <w:color w:val="000000"/>
          <w:sz w:val="20"/>
        </w:rPr>
        <w:t>. Because Exeter's financial information is not expected to be available to the Company on a timely basis consistent with the Company's reporting timetable, the Company will consolidate Exeter using a reporting lag of three months, as permitted by ASC 810-10-45-12. Based on the timing of the Exeter Acquisition, our Condensed Consolidated Statement of Operations for the three and six months ended June 30, 2026 does not include any activity for Exeter. The activity for Exeter will be included in the Company's Consolidated Statement of Operations for the year ended December 31, 2026 when it will include Exeter's results of operations for the three months ended September 30, 2026. The Company will give recognition, through disclosure or adjustment, to the intervening events or transactions between Exeter's most recent available financial information and the Company's period end that materially affect the Company's consolidated financial position or results of operations.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purchase price allocation for the Exeter Acquisition is preliminary and subject to change as the Company obtains additional information necessary to finalize the valuation of assets acquired and liabilities assumed, including property and equipment (most notably Exeter's Sandy Park stadium), investment in Premiership Rugby Limited ("PRL"), tradenames and other assets and liabilities. The Company expects to finalize its purchase price allocation within one year from the acquisition date as required by ASC 805.</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preliminary fair value allocation of the purchase price to the assets acquired and liabilities assumed as of the acquisition date:</w:t>
      </w:r>
    </w:p>
    <w:tbl>
      <w:tblPr>
        <w:tblW w:w="5037" w:type="dxa"/>
        <w:jc w:val="left"/>
        <w:tblInd w:w="0" w:type="dxa"/>
        <w:tblLayout w:type="fixed"/>
        <w:tblCellMar>
          <w:top w:w="28" w:type="dxa"/>
          <w:left w:w="28" w:type="dxa"/>
          <w:bottom w:w="28" w:type="dxa"/>
          <w:right w:w="28" w:type="dxa"/>
        </w:tblCellMar>
      </w:tblPr>
      <w:tblGrid>
        <w:gridCol w:w="1276"/>
        <w:gridCol w:w="1123"/>
        <w:gridCol w:w="1126"/>
        <w:gridCol w:w="109"/>
        <w:gridCol w:w="109"/>
        <w:gridCol w:w="109"/>
        <w:gridCol w:w="285"/>
        <w:gridCol w:w="692"/>
        <w:gridCol w:w="208"/>
      </w:tblGrid>
      <w:tr>
        <w:trPr/>
        <w:tc>
          <w:tcPr>
            <w:tcW w:w="1276" w:type="dxa"/>
            <w:tcBorders/>
            <w:vAlign w:val="center"/>
          </w:tcPr>
          <w:p>
            <w:pPr>
              <w:pStyle w:val="TableContents"/>
              <w:bidi w:val="0"/>
              <w:spacing w:before="0" w:after="283"/>
              <w:jc w:val="left"/>
              <w:rPr>
                <w:sz w:val="4"/>
                <w:szCs w:val="4"/>
              </w:rPr>
            </w:pPr>
            <w:r>
              <w:rPr>
                <w:sz w:val="4"/>
                <w:szCs w:val="4"/>
              </w:rPr>
            </w:r>
          </w:p>
        </w:tc>
        <w:tc>
          <w:tcPr>
            <w:tcW w:w="112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Fair Value</w:t>
            </w:r>
          </w:p>
        </w:tc>
      </w:tr>
      <w:tr>
        <w:trPr/>
        <w:tc>
          <w:tcPr>
            <w:tcW w:w="35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 millions)</w:t>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in Premiership Rugby Limited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5" w:type="dxa"/>
            <w:gridSpan w:val="3"/>
            <w:tcBorders/>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17.0 </w:t>
            </w:r>
          </w:p>
        </w:tc>
        <w:tc>
          <w:tcPr>
            <w:tcW w:w="20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20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20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20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gross carrying value and weighted average estimated useful lives of Property and equipment and Other intangible assets acquired consists of the following:</w:t>
      </w:r>
    </w:p>
    <w:tbl>
      <w:tblPr>
        <w:tblW w:w="10205" w:type="dxa"/>
        <w:jc w:val="left"/>
        <w:tblInd w:w="0" w:type="dxa"/>
        <w:tblLayout w:type="fixed"/>
        <w:tblCellMar>
          <w:top w:w="28" w:type="dxa"/>
          <w:left w:w="28" w:type="dxa"/>
          <w:bottom w:w="28" w:type="dxa"/>
          <w:right w:w="28" w:type="dxa"/>
        </w:tblCellMar>
      </w:tblPr>
      <w:tblGrid>
        <w:gridCol w:w="1655"/>
        <w:gridCol w:w="1455"/>
        <w:gridCol w:w="1459"/>
        <w:gridCol w:w="109"/>
        <w:gridCol w:w="109"/>
        <w:gridCol w:w="109"/>
        <w:gridCol w:w="450"/>
        <w:gridCol w:w="1091"/>
        <w:gridCol w:w="232"/>
        <w:gridCol w:w="109"/>
        <w:gridCol w:w="109"/>
        <w:gridCol w:w="109"/>
        <w:gridCol w:w="936"/>
        <w:gridCol w:w="936"/>
        <w:gridCol w:w="1337"/>
      </w:tblGrid>
      <w:tr>
        <w:trPr/>
        <w:tc>
          <w:tcPr>
            <w:tcW w:w="1655"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Gross 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Weighted Average Estimated Useful Life</w:t>
            </w:r>
          </w:p>
        </w:tc>
      </w:tr>
      <w:tr>
        <w:trPr/>
        <w:tc>
          <w:tcPr>
            <w:tcW w:w="45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7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(In years)</w:t>
            </w:r>
          </w:p>
        </w:tc>
      </w:tr>
      <w:tr>
        <w:trPr/>
        <w:tc>
          <w:tcPr>
            <w:tcW w:w="45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20.7 </w:t>
            </w:r>
          </w:p>
        </w:tc>
        <w:tc>
          <w:tcPr>
            <w:tcW w:w="2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45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intangible assets, net (tradenames and trademarks)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20</w:t>
            </w:r>
          </w:p>
        </w:tc>
      </w:tr>
    </w:tbl>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Exeter's results of operations were not material to the Company's Condensed Consolidated Statement of Operations for the three and six months ended June 30, 2026, and accordingly, pro forma financial information have not been presented.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Exeter is included in the Corporate and other segment.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See Note G - </w:t>
      </w: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color w:val="000000"/>
          <w:sz w:val="20"/>
        </w:rPr>
        <w:t xml:space="preserve">for further discussion of the Exeter debt.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statements contained in this Quarterly Report on Form 10-Q (this "Quarterly Report") that are not purely historical are forward-looking statements within the meaning of Section 27A of the Securities Act of 1933, as amended, and Section 21E of the Securities Exchange Act of 1934, as amended (the "Exchange Act"), including statements regarding our expectations, hopes, intentions or strategies regarding the future. All forward-looking statements included in this Quarterly Report are based on information available to us on the date hereof, and we assume no obligation to update any such forward-looking statements. In some cases, you can identify forward-looking statements by terminology such as "may," "will," "should," "could," "expect," "intend," "plan," "anticipate," "believe," "estimate," "predict," "potential," "continue," or the negative of these terms or other comparable terminology. It is important to note that our actual results could vary materially from those forward-looking statements contained herein due to many factors, including but not limited to: changes in general economic, business and political conditions, including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risks associated with the Investment Company Act of 1940; our potential inability to find suitable acquisition candidates, acquisitions in lines of business that will not necessarily be limited to our traditional areas of focus, or difficulties in integrating acquisitions; significant competition that our operating subsidiaries face; and other risks detailed in the "Statement Regarding Forward-Looking Information," "Risk Factors" and other sections of our Annual Report on Form 10-K for the year ended December 31, 2025 (our "Annual Report") and other filings with the Securities Exchange Commission ("SEC").</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Unless the context indicates otherwise, as used herein, the terms "we," "us," "our," "Cannae," or the "Company" refer collectively to Cannae Holdings, Inc., and its subsidiaries.</w:t>
      </w:r>
    </w:p>
    <w:p>
      <w:pPr>
        <w:pStyle w:val="TextBody"/>
        <w:bidi w:val="0"/>
        <w:spacing w:lineRule="auto" w:line="276" w:before="120" w:after="120"/>
        <w:ind w:left="0" w:right="0" w:firstLine="360"/>
        <w:jc w:val="both"/>
        <w:rPr/>
      </w:pPr>
      <w:r>
        <w:rPr>
          <w:rFonts w:ascii="Times New Roman;serif" w:hAnsi="Times New Roman;serif"/>
          <w:b w:val="false"/>
          <w:color w:val="000000"/>
          <w:sz w:val="20"/>
        </w:rPr>
        <w:t>The following discussion should be read in conjunction with our Annual Report. For an additional description of our business, including descriptions of segments and recent business developments, see the discussion</w:t>
      </w:r>
      <w:r>
        <w:rPr>
          <w:color w:val="000000"/>
        </w:rPr>
        <w:t xml:space="preserve"> </w:t>
      </w:r>
      <w:r>
        <w:rPr>
          <w:rFonts w:ascii="Times New Roman;serif" w:hAnsi="Times New Roman;serif"/>
          <w:b w:val="false"/>
          <w:color w:val="000000"/>
          <w:sz w:val="20"/>
        </w:rPr>
        <w:t xml:space="preserve">in Note A - </w:t>
      </w:r>
      <w:r>
        <w:rPr>
          <w:rFonts w:ascii="Times New Roman;serif" w:hAnsi="Times New Roman;serif"/>
          <w:b w:val="false"/>
          <w:i/>
          <w:color w:val="000000"/>
          <w:sz w:val="20"/>
        </w:rPr>
        <w:t>Basis of Financial Statements</w:t>
      </w:r>
      <w:r>
        <w:rPr>
          <w:color w:val="000000"/>
        </w:rPr>
        <w:t xml:space="preserve"> </w:t>
      </w:r>
      <w:r>
        <w:rPr>
          <w:rFonts w:ascii="Times New Roman;serif" w:hAnsi="Times New Roman;serif"/>
          <w:b w:val="false"/>
          <w:color w:val="000000"/>
          <w:sz w:val="20"/>
        </w:rPr>
        <w:t xml:space="preserve">and Note E - </w:t>
      </w:r>
      <w:r>
        <w:rPr>
          <w:rFonts w:ascii="Times New Roman;serif" w:hAnsi="Times New Roman;serif"/>
          <w:b w:val="false"/>
          <w:i/>
          <w:color w:val="000000"/>
          <w:sz w:val="20"/>
        </w:rPr>
        <w:t>Segment Information</w:t>
      </w:r>
      <w:r>
        <w:rPr>
          <w:color w:val="000000"/>
        </w:rPr>
        <w:t xml:space="preserve"> </w:t>
      </w:r>
      <w:r>
        <w:rPr>
          <w:rFonts w:ascii="Times New Roman;serif" w:hAnsi="Times New Roman;serif"/>
          <w:b w:val="false"/>
          <w:color w:val="000000"/>
          <w:sz w:val="20"/>
        </w:rPr>
        <w:t>to the Condensed Consolidated Financial Statements included in Item 1 of Part I of this Quarterly Report, which is incorporated by reference into this Part I, Item 2.</w:t>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Seasonality, Macroeconomic Conditions and Other Business Trends</w:t>
      </w:r>
    </w:p>
    <w:p>
      <w:pPr>
        <w:pStyle w:val="TextBody"/>
        <w:bidi w:val="0"/>
        <w:spacing w:lineRule="auto" w:line="276" w:before="120" w:after="120"/>
        <w:ind w:left="0" w:right="0" w:firstLine="360"/>
        <w:jc w:val="both"/>
        <w:rPr/>
      </w:pPr>
      <w:r>
        <w:rPr>
          <w:rFonts w:ascii="Times New Roman;serif" w:hAnsi="Times New Roman;serif"/>
          <w:b w:val="false"/>
          <w:i/>
          <w:color w:val="000000"/>
          <w:sz w:val="20"/>
        </w:rPr>
        <w:t>Restaurant Group</w:t>
      </w:r>
      <w:r>
        <w:rPr>
          <w:rFonts w:ascii="Times New Roman;serif" w:hAnsi="Times New Roman;serif"/>
          <w:b w:val="false"/>
          <w:color w:val="000000"/>
          <w:sz w:val="20"/>
        </w:rPr>
        <w:t>. Recent years were a period of high inflation relative to long-term inflation expectations in the U.S. This inflationary environment primarily impacted the commodity and labor costs of our Restaurant Group. We have adjusted menu pricing to account for these cost increases to an extent, but will continue to balance the impact of inflationary pressures on our costs with the value proposition offered to customers, focusing on long-term profitability.</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Average weekly sales per restaurant are typically higher in the first and second quarters than in other quarters, and we typically generate a disproportionate share of our earnings from operations in the first half of the year. Holidays, severe weather and other disruptive conditions may impact sales volumes seasonally in some operating regions.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anticipate various macroeconomic factors will continue to drive uncertainty and instability, which could have a significant impact on the Company during fiscal 2026. These factors include, among others, consumer spending, business investment, government spending, the volatility and strength of the capital markets, investor and consumer confidence, foreign currency exchange rates, commodity prices, inflation levels, changes in trade policy, tariffs on goods, and supply chain disruptions. In light of increasing uncertainty in the markets we serve, we are unable to predict how long the current environment will last or the significance of the financial and operational impacts to us.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continuing to explore strategic alternatives related to our restaurant group as part of our portfolio transformation strategy.</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revenues and operating income in future periods will continue to be subject to these and other factors that are beyond our control and, as a result, are likely to fluctuate.</w:t>
      </w:r>
    </w:p>
    <w:p>
      <w:pPr>
        <w:pStyle w:val="TextBody"/>
        <w:bidi w:val="0"/>
        <w:spacing w:lineRule="auto" w:line="276"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consolidated financial statements are prepared in accordance with U.S. GAAP. The Critical Accounting Policies and Estimates disclosed in Item 7 of our Annual Report are hereby incorporated by reference. Other than as described below, there have been no changes to our critical accounting policies and estimates.</w:t>
      </w:r>
    </w:p>
    <w:p>
      <w:pPr>
        <w:pStyle w:val="TextBody"/>
        <w:bidi w:val="0"/>
        <w:spacing w:lineRule="auto" w:line="276" w:before="120" w:after="100"/>
        <w:ind w:left="0" w:right="0" w:firstLine="360"/>
        <w:jc w:val="both"/>
        <w:rPr/>
      </w:pPr>
      <w:r>
        <w:rPr>
          <w:rFonts w:ascii="Times New Roman;serif" w:hAnsi="Times New Roman;serif"/>
          <w:b w:val="false"/>
          <w:i/>
          <w:color w:val="000000"/>
          <w:sz w:val="20"/>
        </w:rPr>
        <w:t>Investments in unconsolidated affiliates - impairment monitoring</w:t>
      </w:r>
      <w:r>
        <w:rPr>
          <w:rFonts w:ascii="Times New Roman;serif" w:hAnsi="Times New Roman;serif"/>
          <w:b w:val="false"/>
          <w:color w:val="000000"/>
          <w:sz w:val="20"/>
        </w:rPr>
        <w:t>. On an ongoing basis, management monitors the Company's investments in unconsolidated affiliates to determine whether there are indications that the fair value of an investment may be other-than-temporarily below our recorded book value of the investment. Factors considered when determining whether a decline in the fair value of an investment is other-than-temporary, include but are not limited to: the length of time and the extent to which the market value has been less than book value, the financial condition and near-term prospects of the investee, and the intent and ability of the Company to retain its investment in the investee for a period of time sufficient to allow for any anticipated recovery in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ind w:left="0" w:right="0" w:firstLine="360"/>
        <w:jc w:val="both"/>
        <w:rPr/>
      </w:pPr>
      <w:r>
        <w:rPr>
          <w:rFonts w:ascii="Times New Roman;serif" w:hAnsi="Times New Roman;serif"/>
          <w:b w:val="false"/>
          <w:color w:val="000000"/>
          <w:sz w:val="20"/>
          <w:shd w:fill="FFFFFF" w:val="clear"/>
        </w:rPr>
        <w:t xml:space="preserve">As of June 30, 2026, the book value of our investment in Alight accounted for under the equity method of accounting is </w:t>
      </w:r>
      <w:r>
        <w:rPr>
          <w:rFonts w:ascii="Times New Roman;serif" w:hAnsi="Times New Roman;serif"/>
          <w:b w:val="false"/>
          <w:color w:val="000000"/>
          <w:sz w:val="20"/>
        </w:rPr>
        <w:t xml:space="preserve">$71.1 million. Based on the closing stock price of Alight common shares as of </w:t>
      </w:r>
      <w:r>
        <w:rPr>
          <w:rFonts w:ascii="Times New Roman;serif" w:hAnsi="Times New Roman;serif"/>
          <w:b w:val="false"/>
          <w:color w:val="000000"/>
          <w:sz w:val="20"/>
          <w:shd w:fill="FFFFFF" w:val="clear"/>
        </w:rPr>
        <w:t xml:space="preserve">June 30, 2026 and July 31, 2026, the fair value of our investment in Alight was </w:t>
      </w:r>
      <w:r>
        <w:rPr>
          <w:rFonts w:ascii="Times New Roman;serif" w:hAnsi="Times New Roman;serif"/>
          <w:b w:val="false"/>
          <w:color w:val="000000"/>
          <w:sz w:val="20"/>
        </w:rPr>
        <w:t xml:space="preserve">$22.7 million and $34.4 million, respectively. While the fair value of our investment in Alight is currently below our book value as of </w:t>
      </w:r>
      <w:r>
        <w:rPr>
          <w:rFonts w:ascii="Times New Roman;serif" w:hAnsi="Times New Roman;serif"/>
          <w:b w:val="false"/>
          <w:color w:val="000000"/>
          <w:sz w:val="20"/>
          <w:shd w:fill="FFFFFF" w:val="clear"/>
        </w:rPr>
        <w:t>June 30, 2026</w:t>
      </w:r>
      <w:r>
        <w:rPr>
          <w:rFonts w:ascii="Times New Roman;serif" w:hAnsi="Times New Roman;serif"/>
          <w:b w:val="false"/>
          <w:color w:val="000000"/>
          <w:sz w:val="20"/>
        </w:rPr>
        <w:t xml:space="preserve">, the fair value has only been below book value for approximately six months. </w:t>
      </w:r>
      <w:r>
        <w:rPr>
          <w:rFonts w:ascii="Times New Roman;serif" w:hAnsi="Times New Roman;serif"/>
          <w:b w:val="false"/>
          <w:color w:val="000000"/>
          <w:sz w:val="20"/>
          <w:shd w:fill="FFFFFF" w:val="clear"/>
        </w:rPr>
        <w:t>Though we do not currently believe our investment in Alight is other than temporarily impaired, because the fair value is below the book value of our investment as of June 30, 2026, further declines in fair value of the investment, deterioration in Alight's actual or forecasted results of operations or adverse changes in the U.S. macroeconomic environment could result in an impairment charge in future periods to record our asset at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pPr>
      <w:r>
        <w:rPr>
          <w:rFonts w:ascii="Times New Roman;serif" w:hAnsi="Times New Roman;serif"/>
          <w:b w:val="false"/>
          <w:i/>
          <w:color w:val="000000"/>
          <w:sz w:val="20"/>
        </w:rPr>
        <w:t>Accounting for Income Taxes.</w:t>
      </w:r>
      <w:r>
        <w:rPr>
          <w:color w:val="000000"/>
        </w:rPr>
        <w:t xml:space="preserve"> </w:t>
      </w:r>
      <w:r>
        <w:rPr>
          <w:rFonts w:ascii="Times New Roman;serif" w:hAnsi="Times New Roman;serif"/>
          <w:b w:val="false"/>
          <w:color w:val="000000"/>
          <w:sz w:val="20"/>
        </w:rPr>
        <w:t>We recognize deferred tax assets and liabilities for temporary differences between the financial reporting basis and the tax basis of our assets and liabilities and expected benefits of utilizing net operating loss ("NOL") and credit carryforwards. Deferred tax assets and liabilities are measured using enacted tax rates expected to apply to taxable income in the years in which those temporary differences are expected to be recovered or settled. The effect of a change in tax rates and laws on deferred taxes, if any, is applied to the years during which temporary differences are expected to be settled and reflected in the financial statements in the period enacted.</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 has a net deferred tax asset of $1.0 million, which is primarily attributable to temporary differences for certain state income taxes, and a deferred tax liability of $1.9 million related to historical UK corporate taxes of Exeter. The Company continues to record a full valuation allowance on its US federal NOL carryforwards and certain other US deferred taxes related to our ownership interests where it is not more likely than not that the tax benefit will be realized. As of June 30, 2026, our federal valuation allowance was $151.6 million. Additionally, a state valuation allowance of $6.7 million has been recorded representing certain state NOLs where it is not more likely than not that the tax benefit of certain state NOLs will be realized before the NOLs in those certain states expire.</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prospective investment strategy, fluctuations in the fair market value of its ownership interests prior to any dispositions and other factors may influence the timing of reversals of deferred tax assets and liabilities and their ultimate impact on taxable income or loss, which could have an effect on the recoverability of deferred tax assets and our related valuation allowances. The Company will continue to monitor the recoverability of deferred tax assets on a quarterly basis and may need to adjust its valuation allowances on its net deferred tax asset in future periods.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76" w:before="120" w:after="120"/>
        <w:jc w:val="left"/>
        <w:rPr>
          <w:rFonts w:ascii="Times New Roman;serif" w:hAnsi="Times New Roman;serif"/>
          <w:b/>
          <w:i/>
          <w:color w:val="000000"/>
          <w:sz w:val="20"/>
        </w:rPr>
      </w:pPr>
      <w:r>
        <w:rPr>
          <w:rFonts w:ascii="Times New Roman;serif" w:hAnsi="Times New Roman;serif"/>
          <w:b/>
          <w:i/>
          <w:color w:val="000000"/>
          <w:sz w:val="20"/>
        </w:rPr>
        <w:t>Consolidated Results of Operations</w:t>
      </w:r>
    </w:p>
    <w:p>
      <w:pPr>
        <w:pStyle w:val="TextBody"/>
        <w:bidi w:val="0"/>
        <w:spacing w:lineRule="auto" w:line="276" w:before="120" w:after="120"/>
        <w:ind w:left="0" w:right="0" w:firstLine="360"/>
        <w:jc w:val="left"/>
        <w:rPr/>
      </w:pPr>
      <w:r>
        <w:rPr>
          <w:rFonts w:ascii="Times New Roman;serif" w:hAnsi="Times New Roman;serif"/>
          <w:b w:val="false"/>
          <w:i/>
          <w:color w:val="000000"/>
          <w:sz w:val="20"/>
        </w:rPr>
        <w:t xml:space="preserve">Net Earnings (Loss). </w:t>
      </w:r>
      <w:r>
        <w:rPr>
          <w:rFonts w:ascii="Times New Roman;serif" w:hAnsi="Times New Roman;serif"/>
          <w:b w:val="false"/>
          <w:color w:val="000000"/>
          <w:sz w:val="20"/>
        </w:rPr>
        <w:t>The following table presents certain financial data for the periods indicated:</w:t>
      </w:r>
    </w:p>
    <w:tbl>
      <w:tblPr>
        <w:tblW w:w="10205" w:type="dxa"/>
        <w:jc w:val="left"/>
        <w:tblInd w:w="0" w:type="dxa"/>
        <w:tblLayout w:type="fixed"/>
        <w:tblCellMar>
          <w:top w:w="28" w:type="dxa"/>
          <w:left w:w="28" w:type="dxa"/>
          <w:bottom w:w="28" w:type="dxa"/>
          <w:right w:w="28" w:type="dxa"/>
        </w:tblCellMar>
      </w:tblPr>
      <w:tblGrid>
        <w:gridCol w:w="2054"/>
        <w:gridCol w:w="1741"/>
        <w:gridCol w:w="1757"/>
        <w:gridCol w:w="210"/>
        <w:gridCol w:w="499"/>
        <w:gridCol w:w="116"/>
        <w:gridCol w:w="116"/>
        <w:gridCol w:w="116"/>
        <w:gridCol w:w="116"/>
        <w:gridCol w:w="210"/>
        <w:gridCol w:w="664"/>
        <w:gridCol w:w="116"/>
        <w:gridCol w:w="109"/>
        <w:gridCol w:w="109"/>
        <w:gridCol w:w="109"/>
        <w:gridCol w:w="196"/>
        <w:gridCol w:w="556"/>
        <w:gridCol w:w="109"/>
        <w:gridCol w:w="109"/>
        <w:gridCol w:w="109"/>
        <w:gridCol w:w="109"/>
        <w:gridCol w:w="196"/>
        <w:gridCol w:w="618"/>
        <w:gridCol w:w="161"/>
      </w:tblGrid>
      <w:tr>
        <w:trPr/>
        <w:tc>
          <w:tcPr>
            <w:tcW w:w="2054" w:type="dxa"/>
            <w:tcBorders/>
            <w:vAlign w:val="center"/>
          </w:tcPr>
          <w:p>
            <w:pPr>
              <w:pStyle w:val="TableContents"/>
              <w:bidi w:val="0"/>
              <w:spacing w:before="0" w:after="283"/>
              <w:jc w:val="left"/>
              <w:rPr>
                <w:sz w:val="4"/>
                <w:szCs w:val="4"/>
              </w:rPr>
            </w:pPr>
            <w:r>
              <w:rPr>
                <w:sz w:val="4"/>
                <w:szCs w:val="4"/>
              </w:rPr>
            </w:r>
          </w:p>
        </w:tc>
        <w:tc>
          <w:tcPr>
            <w:tcW w:w="1741" w:type="dxa"/>
            <w:tcBorders/>
            <w:vAlign w:val="center"/>
          </w:tcPr>
          <w:p>
            <w:pPr>
              <w:pStyle w:val="TableContents"/>
              <w:bidi w:val="0"/>
              <w:spacing w:before="0" w:after="283"/>
              <w:jc w:val="left"/>
              <w:rPr>
                <w:sz w:val="4"/>
                <w:szCs w:val="4"/>
              </w:rPr>
            </w:pPr>
            <w:r>
              <w:rPr>
                <w:sz w:val="4"/>
                <w:szCs w:val="4"/>
              </w:rPr>
            </w:r>
          </w:p>
        </w:tc>
        <w:tc>
          <w:tcPr>
            <w:tcW w:w="175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825" w:type="dxa"/>
            <w:gridSpan w:val="3"/>
            <w:tcBorders/>
            <w:vAlign w:val="center"/>
          </w:tcPr>
          <w:p>
            <w:pPr>
              <w:pStyle w:val="TableContents"/>
              <w:bidi w:val="0"/>
              <w:spacing w:before="0" w:after="283"/>
              <w:jc w:val="left"/>
              <w:rPr>
                <w:sz w:val="4"/>
                <w:szCs w:val="4"/>
              </w:rPr>
            </w:pPr>
            <w:r>
              <w:rPr>
                <w:sz w:val="4"/>
                <w:szCs w:val="4"/>
              </w:rPr>
            </w:r>
          </w:p>
        </w:tc>
        <w:tc>
          <w:tcPr>
            <w:tcW w:w="348"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5552" w:type="dxa"/>
            <w:gridSpan w:val="3"/>
            <w:tcBorders/>
            <w:vAlign w:val="center"/>
          </w:tcPr>
          <w:p>
            <w:pPr>
              <w:pStyle w:val="TableContents"/>
              <w:bidi w:val="0"/>
              <w:spacing w:before="0" w:after="283"/>
              <w:jc w:val="left"/>
              <w:rPr>
                <w:sz w:val="4"/>
                <w:szCs w:val="4"/>
              </w:rPr>
            </w:pPr>
            <w:r>
              <w:rPr>
                <w:sz w:val="4"/>
                <w:szCs w:val="4"/>
              </w:rPr>
            </w:r>
          </w:p>
        </w:tc>
        <w:tc>
          <w:tcPr>
            <w:tcW w:w="4653" w:type="dxa"/>
            <w:gridSpan w:val="21"/>
            <w:tcBorders/>
          </w:tcPr>
          <w:p>
            <w:pPr>
              <w:pStyle w:val="TableContents"/>
              <w:bidi w:val="0"/>
              <w:spacing w:before="0" w:after="283"/>
              <w:jc w:val="left"/>
              <w:rPr>
                <w:sz w:val="4"/>
                <w:szCs w:val="4"/>
              </w:rPr>
            </w:pPr>
            <w:r>
              <w:rPr>
                <w:sz w:val="4"/>
                <w:szCs w:val="4"/>
              </w:rPr>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Revenues:</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Restaurant revenue</w:t>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92.0 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101.9 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revenue</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revenues</w:t>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110.2 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198.4 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213.4 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expenses:</w:t>
            </w:r>
          </w:p>
        </w:tc>
        <w:tc>
          <w:tcPr>
            <w:tcW w:w="82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Cost of restaurant revenue</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90.8 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181.8 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Personnel costs</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36.2 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operating expenses, including asset impairments</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26.3 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57.4 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Goodwill impairment</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Total operating expenses</w:t>
            </w:r>
          </w:p>
        </w:tc>
        <w:tc>
          <w:tcPr>
            <w:tcW w:w="7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159.0 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171.1 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295.7 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Operating loss</w:t>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(56.8)</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(60.9)</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(82.3)</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income (expense):</w:t>
            </w:r>
          </w:p>
        </w:tc>
        <w:tc>
          <w:tcPr>
            <w:tcW w:w="82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investment and other income</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 expense</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Recognized gains (losses), net</w:t>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82.8 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(76.2)</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(69.0)</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 xml:space="preserve">Total other income (expense), net </w:t>
            </w:r>
          </w:p>
        </w:tc>
        <w:tc>
          <w:tcPr>
            <w:tcW w:w="709"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85.1 </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(74.7)</w:t>
            </w:r>
          </w:p>
        </w:tc>
        <w:tc>
          <w:tcPr>
            <w:tcW w:w="1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income taxes and equity in earnings (losses) of unconsolidated affiliates</w:t>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28.3 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(135.6)</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(152.2)</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 expense (benefit)</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(loss) before equity in earnings (losses) of unconsolidated affiliates</w:t>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(133.8)</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(170.6)</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Equity in earnings (losses) of unconsolidated affiliates</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(97.6)</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from continuing operations</w:t>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(229.5)</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 from discontinued operations, net of tax</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(11.0)</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(87.3)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709"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28.4 </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(240.5)</w:t>
            </w:r>
          </w:p>
        </w:tc>
        <w:tc>
          <w:tcPr>
            <w:tcW w:w="1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(355.5)</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Less: Net loss attributable to non-controlling interests</w:t>
            </w:r>
          </w:p>
        </w:tc>
        <w:tc>
          <w:tcPr>
            <w:tcW w:w="7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 attributable to Cannae Holdings, Inc. common shareholders</w:t>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9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37.5 </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(238.8)</w:t>
            </w:r>
          </w:p>
        </w:tc>
        <w:tc>
          <w:tcPr>
            <w:tcW w:w="1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5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(351.8)</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283"/>
        <w:jc w:val="left"/>
        <w:rPr>
          <w:rFonts w:ascii="Times New Roman;serif" w:hAnsi="Times New Roman;serif"/>
          <w:b/>
          <w:i/>
          <w:color w:val="000000"/>
          <w:sz w:val="20"/>
        </w:rPr>
      </w:pPr>
      <w:r>
        <w:rPr>
          <w:rFonts w:ascii="Times New Roman;serif" w:hAnsi="Times New Roman;serif"/>
          <w:b/>
          <w:i/>
          <w:color w:val="000000"/>
          <w:sz w:val="20"/>
        </w:rPr>
        <w:t>For the Three Months Ended June 30, 2026 and 2025 </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The following is a discussion of the material fluctuations in our consolidated results of operations for the three months ended </w:t>
      </w:r>
      <w:r>
        <w:rPr>
          <w:rFonts w:ascii="Times New Roman;serif" w:hAnsi="Times New Roman;serif"/>
          <w:b w:val="false"/>
          <w:color w:val="000000"/>
          <w:sz w:val="20"/>
          <w:shd w:fill="FFFFFF" w:val="clear"/>
        </w:rPr>
        <w:t>June 30, 2026</w:t>
      </w:r>
      <w:r>
        <w:rPr>
          <w:color w:val="000000"/>
        </w:rPr>
        <w:t xml:space="preserve"> </w:t>
      </w:r>
      <w:r>
        <w:rPr>
          <w:rFonts w:ascii="Times New Roman;serif" w:hAnsi="Times New Roman;serif"/>
          <w:b w:val="false"/>
          <w:color w:val="000000"/>
          <w:sz w:val="20"/>
        </w:rPr>
        <w:t xml:space="preserve">as compared to the three months ended June 30, 2025. The material changes in revenues, expenses and pre-tax loss for the three months ended </w:t>
      </w:r>
      <w:r>
        <w:rPr>
          <w:rFonts w:ascii="Times New Roman;serif" w:hAnsi="Times New Roman;serif"/>
          <w:b w:val="false"/>
          <w:color w:val="000000"/>
          <w:sz w:val="20"/>
          <w:shd w:fill="FFFFFF" w:val="clear"/>
        </w:rPr>
        <w:t>June 30, 2026 and 2025 are</w:t>
      </w:r>
      <w:r>
        <w:rPr>
          <w:color w:val="000000"/>
        </w:rPr>
        <w:t xml:space="preserve"> </w:t>
      </w:r>
      <w:r>
        <w:rPr>
          <w:rFonts w:ascii="Times New Roman;serif" w:hAnsi="Times New Roman;serif"/>
          <w:b w:val="false"/>
          <w:color w:val="000000"/>
          <w:sz w:val="20"/>
        </w:rPr>
        <w:t>discussed in further detail at the segment level below.</w:t>
      </w:r>
    </w:p>
    <w:p>
      <w:pPr>
        <w:pStyle w:val="TextBody"/>
        <w:bidi w:val="0"/>
        <w:spacing w:lineRule="auto" w:line="276" w:before="120" w:after="283"/>
        <w:jc w:val="left"/>
        <w:rPr>
          <w:rFonts w:ascii="Times New Roman;serif" w:hAnsi="Times New Roman;serif"/>
          <w:b w:val="false"/>
          <w:i/>
          <w:color w:val="000000"/>
          <w:sz w:val="20"/>
        </w:rPr>
      </w:pPr>
      <w:r>
        <w:rPr>
          <w:rFonts w:ascii="Times New Roman;serif" w:hAnsi="Times New Roman;serif"/>
          <w:b w:val="false"/>
          <w:i/>
          <w:color w:val="000000"/>
          <w:sz w:val="20"/>
        </w:rPr>
        <w:t>Revenues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Restaurant sales including food and beverage sales, are net of applicable state and local sales taxes and discounts, and are recognized at a point in time as services are performed and goods are provided.</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revenue consists of income generated by our resort operations, which includes sales of real estate, lodging rentals, food and beverage sales, and other income from various resort services offered. Revenue is recognized at a point in time upon closing of the sale of real estate or once goods and services have been provided and billed to the customer.</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Expenses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operating expenses consist primarily of personnel costs, cost of restaurant revenue, other operating expenses, and depreciation and amortization.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restaurant revenue includes cost of food and beverage, primarily the costs of beef, groceries, produce, seafood, poultry and alcoholic and non-alcoholic beverages, net of vendor discounts and rebates, payroll and related costs and expenses directly relating to restaurant level activities, and restaurant operating costs including occupancy and other operating expenses at the restaurant level.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Personnel costs include base salaries, commissions, benefits, stock-based compensation and bonuses paid to employees, and are one of our most significant operating expenses. Personnel costs that are directly attributable to the restaurant-level operations of the Restaurant Group are included in Cost of restaurant revenue.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Depreciation and amortization expense consists of our depreciation related to investments in property and equipment as well as amortization of intangible assets.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include management fees, carried interest fees, professional fees, advertising costs, travel expenses and impairments of operating assets.</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Recognized gains (losses)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Recognized gains (losses) changed $159.0 million, or 208.7%, in the three months ended June 30, 2026 compared to the corresponding period in 2025. The change in Recognized (losses) gains is discussed in further detail at the segment level below.</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Pre-Tax Earnings (Loss)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Earnings (loss) before income taxes and equity in losses of unconsolidated affiliates changed $163.9 million, or 120.9%, in the three months ended June 30, 2026 compared to the corresponding period in 2025. </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Income Taxes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Income tax expense (benefit) was $1.7 million and $(1.8) million in the three-month periods ended June 30, 2026 and 2025, respectively. Our effective tax rate was 6.0% and 1.3% in the three months ended June 30, 2026 and 2025,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three months ended June 30, 2026 compared to the corresponding period in 2025 is attributable to the varying impact of equity in losses of unconsolidated affiliates on income tax expense (benefit).</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Equity in Earnings (Losses) of Unconsolidated Affiliates</w:t>
      </w:r>
    </w:p>
    <w:p>
      <w:pPr>
        <w:pStyle w:val="TextBody"/>
        <w:bidi w:val="0"/>
        <w:spacing w:lineRule="auto" w:line="276" w:before="120" w:after="120"/>
        <w:ind w:left="0" w:right="0" w:firstLine="360"/>
        <w:jc w:val="both"/>
        <w:rPr/>
      </w:pPr>
      <w:r>
        <w:rPr>
          <w:rFonts w:ascii="Times New Roman;serif" w:hAnsi="Times New Roman;serif"/>
          <w:b w:val="false"/>
          <w:color w:val="000000"/>
          <w:sz w:val="20"/>
          <w:shd w:fill="FFFFFF" w:val="clear"/>
        </w:rPr>
        <w:t xml:space="preserve">Equity in earnings (losses) of unconsolidated affiliates for the </w:t>
      </w:r>
      <w:r>
        <w:rPr>
          <w:rFonts w:ascii="Times New Roman;serif" w:hAnsi="Times New Roman;serif"/>
          <w:b w:val="false"/>
          <w:color w:val="000000"/>
          <w:sz w:val="20"/>
        </w:rPr>
        <w:t xml:space="preserve">three </w:t>
      </w:r>
      <w:r>
        <w:rPr>
          <w:rFonts w:ascii="Times New Roman;serif" w:hAnsi="Times New Roman;serif"/>
          <w:b w:val="false"/>
          <w:color w:val="000000"/>
          <w:sz w:val="20"/>
          <w:shd w:fill="FFFFFF" w:val="clear"/>
        </w:rPr>
        <w:t>months ended June 30, 2026 and 2025, consisted of the following:</w:t>
      </w:r>
    </w:p>
    <w:tbl>
      <w:tblPr>
        <w:tblW w:w="4032" w:type="dxa"/>
        <w:jc w:val="left"/>
        <w:tblInd w:w="0" w:type="dxa"/>
        <w:tblLayout w:type="fixed"/>
        <w:tblCellMar>
          <w:top w:w="28" w:type="dxa"/>
          <w:left w:w="28" w:type="dxa"/>
          <w:bottom w:w="28" w:type="dxa"/>
          <w:right w:w="28" w:type="dxa"/>
        </w:tblCellMar>
      </w:tblPr>
      <w:tblGrid>
        <w:gridCol w:w="465"/>
        <w:gridCol w:w="411"/>
        <w:gridCol w:w="414"/>
        <w:gridCol w:w="231"/>
        <w:gridCol w:w="561"/>
        <w:gridCol w:w="119"/>
        <w:gridCol w:w="119"/>
        <w:gridCol w:w="119"/>
        <w:gridCol w:w="119"/>
        <w:gridCol w:w="231"/>
        <w:gridCol w:w="643"/>
        <w:gridCol w:w="119"/>
        <w:gridCol w:w="109"/>
        <w:gridCol w:w="109"/>
        <w:gridCol w:w="109"/>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481" w:type="dxa"/>
            <w:gridSpan w:val="4"/>
            <w:tcBorders/>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BKFC</w:t>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Partners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CSI</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Watkins</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Fund</w:t>
            </w:r>
          </w:p>
        </w:tc>
        <w:tc>
          <w:tcPr>
            <w:tcW w:w="7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7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1.8 </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4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w:t>
            </w:r>
          </w:p>
        </w:tc>
        <w:tc>
          <w:tcPr>
            <w:tcW w:w="1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equity in losses of Alight in the three months ended June 30, 2025 was primarily driven by the pickup of our ratable portion of Alight's goodwill impairment of $983.0 million. The change in net income or loss from our unconsolidated affiliates that are reportable segments is discussed in further detail at the segment level below.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For the Six Months Ended June 30, 2026 and 2025</w:t>
      </w:r>
    </w:p>
    <w:p>
      <w:pPr>
        <w:pStyle w:val="TextBody"/>
        <w:bidi w:val="0"/>
        <w:spacing w:lineRule="auto" w:line="276" w:before="120" w:after="120"/>
        <w:ind w:left="0" w:right="0" w:firstLine="360"/>
        <w:jc w:val="both"/>
        <w:rPr/>
      </w:pPr>
      <w:r>
        <w:rPr>
          <w:rFonts w:ascii="Times New Roman;serif" w:hAnsi="Times New Roman;serif"/>
          <w:b w:val="false"/>
          <w:color w:val="000000"/>
          <w:sz w:val="20"/>
        </w:rPr>
        <w:t xml:space="preserve">The following is a discussion of the material fluctuations in our consolidated results of operations for the six months ended June 30, 2026 as compared to the six months ended June 30, 2025. The material changes in revenues, expenses and pre-tax loss for the six months ended </w:t>
      </w:r>
      <w:r>
        <w:rPr>
          <w:rFonts w:ascii="Times New Roman;serif" w:hAnsi="Times New Roman;serif"/>
          <w:b w:val="false"/>
          <w:color w:val="000000"/>
          <w:sz w:val="20"/>
          <w:shd w:fill="FFFFFF" w:val="clear"/>
        </w:rPr>
        <w:t>June 30, 2026 and 2025 are</w:t>
      </w:r>
      <w:r>
        <w:rPr>
          <w:color w:val="000000"/>
        </w:rPr>
        <w:t xml:space="preserve"> </w:t>
      </w:r>
      <w:r>
        <w:rPr>
          <w:rFonts w:ascii="Times New Roman;serif" w:hAnsi="Times New Roman;serif"/>
          <w:b w:val="false"/>
          <w:color w:val="000000"/>
          <w:sz w:val="20"/>
        </w:rPr>
        <w:t>discussed in further detail at the segment level below.</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Pre-Tax Earnings (Loss)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Earnings (loss) before income taxes and equity in losses of unconsolidated affiliates changed $151.0 million, or 99.2%, in the six months ended June 30, 2026 compared to the corresponding period in 2025. </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 xml:space="preserve">Income Taxes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Income tax expense was $2.2 million and $18.4 million in the six-month periods ended June 30, 2026 and 2025, respectively. Our effective tax rate was (183.3)% and (12.1)% in the six months ended June 30, 2026 and 2025, respectively. Our effective tax rate fluctuates depending on our estimate of ultimate income tax liability and changes in the characteristics of net earnings, such as the weighting of operating income versus other income or earnings and losses of unconsolidated affiliates. The change in our effective tax rate in the six months ended June 30, 2026 compared to the corresponding period in 2025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primarily attributable to recording a valuation allowance recorded in the prior year period of $84.8 million and the varying impact of equity in losses of unconsolidated affiliates on income tax expense (benefit).</w:t>
      </w:r>
    </w:p>
    <w:p>
      <w:pPr>
        <w:pStyle w:val="TextBody"/>
        <w:bidi w:val="0"/>
        <w:spacing w:lineRule="auto" w:line="276" w:before="120" w:after="120"/>
        <w:jc w:val="both"/>
        <w:rPr>
          <w:rFonts w:ascii="Times New Roman;serif" w:hAnsi="Times New Roman;serif"/>
          <w:b w:val="false"/>
          <w:i/>
          <w:color w:val="000000"/>
          <w:sz w:val="20"/>
        </w:rPr>
      </w:pPr>
      <w:r>
        <w:rPr>
          <w:rFonts w:ascii="Times New Roman;serif" w:hAnsi="Times New Roman;serif"/>
          <w:b w:val="false"/>
          <w:i/>
          <w:color w:val="000000"/>
          <w:sz w:val="20"/>
        </w:rPr>
        <w:t>Equity in Losses of Unconsolidated Affiliates</w:t>
      </w:r>
    </w:p>
    <w:p>
      <w:pPr>
        <w:pStyle w:val="TextBody"/>
        <w:bidi w:val="0"/>
        <w:spacing w:lineRule="auto" w:line="276" w:before="120" w:after="120"/>
        <w:ind w:left="0" w:right="0" w:firstLine="360"/>
        <w:jc w:val="both"/>
        <w:rPr/>
      </w:pPr>
      <w:r>
        <w:rPr>
          <w:rFonts w:ascii="Times New Roman;serif" w:hAnsi="Times New Roman;serif"/>
          <w:b w:val="false"/>
          <w:color w:val="000000"/>
          <w:sz w:val="20"/>
          <w:shd w:fill="FFFFFF" w:val="clear"/>
        </w:rPr>
        <w:t xml:space="preserve">Equity in losses of unconsolidated affiliates for the </w:t>
      </w:r>
      <w:r>
        <w:rPr>
          <w:rFonts w:ascii="Times New Roman;serif" w:hAnsi="Times New Roman;serif"/>
          <w:b w:val="false"/>
          <w:color w:val="000000"/>
          <w:sz w:val="20"/>
        </w:rPr>
        <w:t>six</w:t>
      </w:r>
      <w:r>
        <w:rPr>
          <w:color w:val="000000"/>
          <w:shd w:fill="FFFFFF" w:val="clear"/>
        </w:rPr>
        <w:t xml:space="preserve"> </w:t>
      </w:r>
      <w:r>
        <w:rPr>
          <w:rFonts w:ascii="Times New Roman;serif" w:hAnsi="Times New Roman;serif"/>
          <w:b w:val="false"/>
          <w:color w:val="000000"/>
          <w:sz w:val="20"/>
          <w:shd w:fill="FFFFFF" w:val="clear"/>
        </w:rPr>
        <w:t>months ended June 30, 2026 and 2025, consisted of the following:</w:t>
      </w:r>
    </w:p>
    <w:tbl>
      <w:tblPr>
        <w:tblW w:w="4809" w:type="dxa"/>
        <w:jc w:val="left"/>
        <w:tblInd w:w="0" w:type="dxa"/>
        <w:tblLayout w:type="fixed"/>
        <w:tblCellMar>
          <w:top w:w="28" w:type="dxa"/>
          <w:left w:w="28" w:type="dxa"/>
          <w:bottom w:w="28" w:type="dxa"/>
          <w:right w:w="28" w:type="dxa"/>
        </w:tblCellMar>
      </w:tblPr>
      <w:tblGrid>
        <w:gridCol w:w="465"/>
        <w:gridCol w:w="411"/>
        <w:gridCol w:w="414"/>
        <w:gridCol w:w="109"/>
        <w:gridCol w:w="109"/>
        <w:gridCol w:w="216"/>
        <w:gridCol w:w="216"/>
        <w:gridCol w:w="419"/>
        <w:gridCol w:w="956"/>
        <w:gridCol w:w="216"/>
        <w:gridCol w:w="109"/>
        <w:gridCol w:w="109"/>
        <w:gridCol w:w="109"/>
        <w:gridCol w:w="211"/>
        <w:gridCol w:w="586"/>
        <w:gridCol w:w="154"/>
      </w:tblGrid>
      <w:tr>
        <w:trPr/>
        <w:tc>
          <w:tcPr>
            <w:tcW w:w="465"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278" w:type="dxa"/>
            <w:gridSpan w:val="6"/>
            <w:tcBorders/>
          </w:tcPr>
          <w:p>
            <w:pPr>
              <w:pStyle w:val="TableContents"/>
              <w:bidi w:val="0"/>
              <w:spacing w:before="0" w:after="283"/>
              <w:jc w:val="left"/>
              <w:rPr>
                <w:sz w:val="4"/>
                <w:szCs w:val="4"/>
              </w:rPr>
            </w:pPr>
            <w:r>
              <w:rPr>
                <w:sz w:val="4"/>
                <w:szCs w:val="4"/>
              </w:rPr>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8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BKFC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Partners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CSI</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Watkins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JANA Fund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3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w:t>
            </w:r>
          </w:p>
        </w:tc>
        <w:tc>
          <w:tcPr>
            <w:tcW w:w="2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2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(97.6)</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equity in losses of Alight in the six months ended June 30, 2025 was primarily driven by the pickup of our ratable portion of Alight's goodwill impairment of $983.0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Restaurant Group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from operations of our Restaurant Group segment:</w:t>
      </w:r>
    </w:p>
    <w:tbl>
      <w:tblPr>
        <w:tblW w:w="10205" w:type="dxa"/>
        <w:jc w:val="left"/>
        <w:tblInd w:w="0" w:type="dxa"/>
        <w:tblLayout w:type="fixed"/>
        <w:tblCellMar>
          <w:top w:w="28" w:type="dxa"/>
          <w:left w:w="28" w:type="dxa"/>
          <w:bottom w:w="28" w:type="dxa"/>
          <w:right w:w="28" w:type="dxa"/>
        </w:tblCellMar>
      </w:tblPr>
      <w:tblGrid>
        <w:gridCol w:w="1995"/>
        <w:gridCol w:w="1709"/>
        <w:gridCol w:w="1726"/>
        <w:gridCol w:w="215"/>
        <w:gridCol w:w="589"/>
        <w:gridCol w:w="110"/>
        <w:gridCol w:w="110"/>
        <w:gridCol w:w="110"/>
        <w:gridCol w:w="110"/>
        <w:gridCol w:w="215"/>
        <w:gridCol w:w="628"/>
        <w:gridCol w:w="110"/>
        <w:gridCol w:w="109"/>
        <w:gridCol w:w="109"/>
        <w:gridCol w:w="109"/>
        <w:gridCol w:w="211"/>
        <w:gridCol w:w="616"/>
        <w:gridCol w:w="109"/>
        <w:gridCol w:w="109"/>
        <w:gridCol w:w="109"/>
        <w:gridCol w:w="109"/>
        <w:gridCol w:w="211"/>
        <w:gridCol w:w="616"/>
        <w:gridCol w:w="161"/>
      </w:tblGrid>
      <w:tr>
        <w:trPr/>
        <w:tc>
          <w:tcPr>
            <w:tcW w:w="1995"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c>
          <w:tcPr>
            <w:tcW w:w="172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2197"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1"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revenue</w:t>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revenues</w:t>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restaurant revenue</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including asset impairments</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 impairment</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804"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103.7 </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206.5 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w:t>
            </w:r>
          </w:p>
        </w:tc>
        <w:tc>
          <w:tcPr>
            <w:tcW w:w="9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vAlign w:val="center"/>
          </w:tcPr>
          <w:p>
            <w:pPr>
              <w:pStyle w:val="TableContents"/>
              <w:bidi w:val="0"/>
              <w:spacing w:before="0" w:after="283"/>
              <w:jc w:val="left"/>
              <w:rPr>
                <w:sz w:val="4"/>
                <w:szCs w:val="4"/>
              </w:rPr>
            </w:pPr>
            <w:r>
              <w:rPr>
                <w:sz w:val="4"/>
                <w:szCs w:val="4"/>
              </w:rPr>
            </w:r>
          </w:p>
        </w:tc>
        <w:tc>
          <w:tcPr>
            <w:tcW w:w="914"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8" w:type="dxa"/>
            <w:gridSpan w:val="3"/>
            <w:tcBorders/>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net</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expense</w:t>
            </w:r>
          </w:p>
        </w:tc>
        <w:tc>
          <w:tcPr>
            <w:tcW w:w="80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6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 and equity in losses of unconsolidated affiliates</w:t>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 xml:space="preserve">For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for the Restaurant Group segment decreased $9.9 million, or 9.7%, in the three months ended June 30, 2026, compared to the corresponding period in 2025. The reduction in revenue is primarily attributable to approximately $4.1 million of incremental revenue included in the three months ended June 30, 2025 associated with O'Charley's store locations that were closed prior to the three months ended June 30, 2026 and a decline in comparable store sales.</w:t>
      </w:r>
    </w:p>
    <w:p>
      <w:pPr>
        <w:pStyle w:val="TextBody"/>
        <w:bidi w:val="0"/>
        <w:spacing w:lineRule="auto" w:line="276" w:before="120" w:after="120"/>
        <w:ind w:left="0" w:right="0" w:firstLine="360"/>
        <w:jc w:val="both"/>
        <w:rPr/>
      </w:pPr>
      <w:r>
        <w:rPr>
          <w:rFonts w:ascii="Times New Roman;serif" w:hAnsi="Times New Roman;serif"/>
          <w:b w:val="false"/>
          <w:i/>
          <w:color w:val="000000"/>
          <w:sz w:val="20"/>
        </w:rPr>
        <w:t xml:space="preserve">Comparable Store Sales. </w:t>
      </w:r>
      <w:r>
        <w:rPr>
          <w:rFonts w:ascii="Times New Roman;serif" w:hAnsi="Times New Roman;serif"/>
          <w:b w:val="false"/>
          <w:color w:val="000000"/>
          <w:sz w:val="20"/>
        </w:rPr>
        <w:t xml:space="preserve">One method we use in evaluating the performance of our restaurants is to compare sales results for restaurants period over period. A new restaurant is included in our comparable store sales figures starting in the first period following the restaurant's first seventy-eight weeks of operations. Changes in comparable store sales reflect changes in sales for the comparable store group of restaurants over a specified period of time. This measure highlights the performance of existing restaurants, as the impact of new restaurant openings is excluded. Comparable store sales for our O'Charley's and 99 Restaurants brands decreased by 13.1% and 4.0%, respectively, in the three months ended June 30, 2026 compared to the corresponding period in 2025. The decrease is primarily attributable to our O'Charley's and 99 Restaurants brands decrease in guest counts of 23.8% and 6.4%, respectively, partially offset by an increase in the average amount spent by guests each visit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jc w:val="both"/>
        <w:rPr>
          <w:rFonts w:ascii="Times New Roman;serif" w:hAnsi="Times New Roman;serif"/>
          <w:b w:val="false"/>
          <w:color w:val="000000"/>
          <w:sz w:val="20"/>
        </w:rPr>
      </w:pPr>
      <w:r>
        <w:rPr>
          <w:rFonts w:ascii="Times New Roman;serif" w:hAnsi="Times New Roman;serif"/>
          <w:b w:val="false"/>
          <w:color w:val="000000"/>
          <w:sz w:val="20"/>
        </w:rPr>
        <w:t>14.0% and 2.6%, respectively. The decline in same store sales is an unfavorable trend reasonably likely to have a material unfavorable impact on future net sales and income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restaurant revenue decreased directionally consistent with Restaurant revenue in the period. Cost of restaurant revenue as a percentage of Restaurant revenue was 92.7% and 89.1% in the three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Other operating expense for the Restaurant Group segment increased $10.5 million, or 166.7%, in the three months ended June 30, 2026, compared to the corresponding periods in 2025. The change is primarily attributable to a $11.7 million increase in non-cash impairments to property and equipment and lease assets of O'Charley's and 99 Restaurants.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impairment for the Restaurant Group segment increased $32.1 million in the three months ended June 30, 2026, compared to the corresponding period in 2025. The Company determined that it was more likely than not that the fair value of its 99 Restaurants reporting unit was less than its carrying value. As such, the Company performed a quantitative goodwill impairment test as of June 30, 2026 which resulted in an associated goodwill impairment loss of $32.1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for the Restaurant Group segment decreased $17.1 million, or 8.5%, in the six months ended June 30, 2026, compared to the corresponding period in 2025. The reduction in revenue is primarily attributable to approximately $7.9 million of incremental revenue included in the six months ended June 30, 2025 associated with O'Charley's store locations that were closed prior to the six months ended June 30, 2026 and a decline in comparable store sales.</w:t>
      </w:r>
    </w:p>
    <w:p>
      <w:pPr>
        <w:pStyle w:val="TextBody"/>
        <w:bidi w:val="0"/>
        <w:spacing w:lineRule="auto" w:line="276" w:before="120" w:after="120"/>
        <w:ind w:left="0" w:right="0" w:firstLine="360"/>
        <w:jc w:val="both"/>
        <w:rPr/>
      </w:pPr>
      <w:r>
        <w:rPr>
          <w:rFonts w:ascii="Times New Roman;serif" w:hAnsi="Times New Roman;serif"/>
          <w:b w:val="false"/>
          <w:i/>
          <w:color w:val="000000"/>
          <w:sz w:val="20"/>
        </w:rPr>
        <w:t xml:space="preserve">Comparable Store Sales. </w:t>
      </w:r>
      <w:r>
        <w:rPr>
          <w:rFonts w:ascii="Times New Roman;serif" w:hAnsi="Times New Roman;serif"/>
          <w:b w:val="false"/>
          <w:color w:val="000000"/>
          <w:sz w:val="20"/>
        </w:rPr>
        <w:t>Comparable store sales for our O'Charley's and 99 Restaurants brands decreased by 12.8% and 3.1%, respectively, in the six months ended June 30, 2026 compared to the comparable period in 2025. The decrease in 2026 is primarily attributable to O'Charley's and 99 Restaurants brands decrease in guest counts of 22.2% and 6.9%, respectively, partially offset by an increase in the average amount spent by guests each visit of 12.1% and 4.1%, respectively. The decline in same store sales is an unfavorable trend reasonably likely to have a material unfavorable impact on future net sales and income from continuing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Cost of restaurant revenue decreased directionally consistent with Restaurant revenues. Cost of restaurant revenue as a percentage of Restaurant revenue was 92.0% and 90.4% in the six months ended June 30, 2026 and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 for the Restaurant Group segment increased $18.0 million, or 155.2%, in the six months ended June 30, 2026, compared to the corresponding period in 2025. The change is primarily attributable to $20.2 million increase in non-cash impairment charges to property and equipment and lease assets of O'Charley's and 99 Restaurants.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Goodwill impairment for the Restaurant Group segment increased $32.1 million in the six months ended June 30, 2026, compared to the corresponding period in 2025. The Company determined that it was more likely than not that the fair value of its 99 Restaurants reporting unit was less than its carrying value. As such, the Company performed a quantitative goodwill impairment test as of June 30, 2026 which resulted in an associated goodwill impairment loss of $32.1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Alight</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 approximately 7.7% of the outstanding common stock of Alight. We account for our ownership of Alight under the equity method of accounting; therefore, its results do not consolidate into ours.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Summarized statement of operations information for Alight for the relevant dates and time periods included in Equity in losses of unconsolidated affiliates in our Condensed Consolidated Statements of Operations is presented below.</w:t>
      </w:r>
    </w:p>
    <w:tbl>
      <w:tblPr>
        <w:tblW w:w="9062" w:type="dxa"/>
        <w:jc w:val="left"/>
        <w:tblInd w:w="0" w:type="dxa"/>
        <w:tblLayout w:type="fixed"/>
        <w:tblCellMar>
          <w:top w:w="28" w:type="dxa"/>
          <w:left w:w="28" w:type="dxa"/>
          <w:bottom w:w="28" w:type="dxa"/>
          <w:right w:w="28" w:type="dxa"/>
        </w:tblCellMar>
      </w:tblPr>
      <w:tblGrid>
        <w:gridCol w:w="1421"/>
        <w:gridCol w:w="1251"/>
        <w:gridCol w:w="1257"/>
        <w:gridCol w:w="217"/>
        <w:gridCol w:w="634"/>
        <w:gridCol w:w="112"/>
        <w:gridCol w:w="112"/>
        <w:gridCol w:w="112"/>
        <w:gridCol w:w="112"/>
        <w:gridCol w:w="217"/>
        <w:gridCol w:w="634"/>
        <w:gridCol w:w="112"/>
        <w:gridCol w:w="109"/>
        <w:gridCol w:w="109"/>
        <w:gridCol w:w="109"/>
        <w:gridCol w:w="211"/>
        <w:gridCol w:w="766"/>
        <w:gridCol w:w="109"/>
        <w:gridCol w:w="109"/>
        <w:gridCol w:w="109"/>
        <w:gridCol w:w="109"/>
        <w:gridCol w:w="211"/>
        <w:gridCol w:w="766"/>
        <w:gridCol w:w="154"/>
      </w:tblGrid>
      <w:tr>
        <w:trPr/>
        <w:tc>
          <w:tcPr>
            <w:tcW w:w="1421" w:type="dxa"/>
            <w:tcBorders/>
            <w:vAlign w:val="center"/>
          </w:tcPr>
          <w:p>
            <w:pPr>
              <w:pStyle w:val="TableContents"/>
              <w:bidi w:val="0"/>
              <w:spacing w:before="0" w:after="283"/>
              <w:jc w:val="left"/>
              <w:rPr>
                <w:sz w:val="4"/>
                <w:szCs w:val="4"/>
              </w:rPr>
            </w:pPr>
            <w:r>
              <w:rPr>
                <w:sz w:val="4"/>
                <w:szCs w:val="4"/>
              </w:rPr>
            </w:r>
          </w:p>
        </w:tc>
        <w:tc>
          <w:tcPr>
            <w:tcW w:w="1251" w:type="dxa"/>
            <w:tcBorders/>
            <w:vAlign w:val="center"/>
          </w:tcPr>
          <w:p>
            <w:pPr>
              <w:pStyle w:val="TableContents"/>
              <w:bidi w:val="0"/>
              <w:spacing w:before="0" w:after="283"/>
              <w:jc w:val="left"/>
              <w:rPr>
                <w:sz w:val="4"/>
                <w:szCs w:val="4"/>
              </w:rPr>
            </w:pPr>
            <w:r>
              <w:rPr>
                <w:sz w:val="4"/>
                <w:szCs w:val="4"/>
              </w:rPr>
            </w:r>
          </w:p>
        </w:tc>
        <w:tc>
          <w:tcPr>
            <w:tcW w:w="125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528.0 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continuing operations</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earnings from discontinued operations</w:t>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Alight</w:t>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Details relating to the results of operations of Alight (NYSE: "ALIT") can be found in its periodic reports filed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00"/>
        <w:jc w:val="both"/>
        <w:rPr>
          <w:rFonts w:ascii="Times New Roman;serif" w:hAnsi="Times New Roman;serif"/>
          <w:b/>
          <w:i/>
          <w:color w:val="000000"/>
          <w:sz w:val="20"/>
        </w:rPr>
      </w:pPr>
      <w:r>
        <w:rPr>
          <w:rFonts w:ascii="Times New Roman;serif" w:hAnsi="Times New Roman;serif"/>
          <w:b/>
          <w:i/>
          <w:color w:val="000000"/>
          <w:sz w:val="20"/>
        </w:rPr>
        <w:t>Black Knight Football</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we own approximately 42.4% of the ownership interest of Black Knight Football. We account for our ownership of BKFC under the equity method of accounting, and therefore its results do not consolidate into ours. We report our equity in the earnings or loss of BKFC on a three-month lag, and accordingly, our net loss for the three months ended June 30, 2026 and 2025 includes our equity in BKFC’s losses for the three and six months ended March 31, 2026 and 2025, respectively.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Summarized statement of operation information for Black Knight Football for the relevant dates and time periods included in Equity in losses of unconsolidated affiliates in our Condensed Consolidated Statements of Operations is presented below.</w:t>
      </w:r>
    </w:p>
    <w:tbl>
      <w:tblPr>
        <w:tblW w:w="8674" w:type="dxa"/>
        <w:jc w:val="left"/>
        <w:tblInd w:w="0" w:type="dxa"/>
        <w:tblLayout w:type="fixed"/>
        <w:tblCellMar>
          <w:top w:w="28" w:type="dxa"/>
          <w:left w:w="28" w:type="dxa"/>
          <w:bottom w:w="28" w:type="dxa"/>
          <w:right w:w="28" w:type="dxa"/>
        </w:tblCellMar>
      </w:tblPr>
      <w:tblGrid>
        <w:gridCol w:w="1356"/>
        <w:gridCol w:w="1194"/>
        <w:gridCol w:w="1200"/>
        <w:gridCol w:w="249"/>
        <w:gridCol w:w="605"/>
        <w:gridCol w:w="129"/>
        <w:gridCol w:w="129"/>
        <w:gridCol w:w="129"/>
        <w:gridCol w:w="129"/>
        <w:gridCol w:w="249"/>
        <w:gridCol w:w="605"/>
        <w:gridCol w:w="129"/>
        <w:gridCol w:w="109"/>
        <w:gridCol w:w="109"/>
        <w:gridCol w:w="109"/>
        <w:gridCol w:w="211"/>
        <w:gridCol w:w="616"/>
        <w:gridCol w:w="109"/>
        <w:gridCol w:w="109"/>
        <w:gridCol w:w="109"/>
        <w:gridCol w:w="109"/>
        <w:gridCol w:w="211"/>
        <w:gridCol w:w="616"/>
        <w:gridCol w:w="154"/>
      </w:tblGrid>
      <w:tr>
        <w:trPr/>
        <w:tc>
          <w:tcPr>
            <w:tcW w:w="1356"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7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4"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0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(losses) of unconsolidated affiliates</w:t>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 attributable to BKFC</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BKFC's total revenue is primarily attributable to Premier League media rights, matchday and sponsorship revenue earned by AFCB.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for Black Knight Football increased $27.5 million, or 44.9%, and $34.2 million, or 25.8%, in the three and six months ended March 31, 2026, compared to the corresponding period in 2025, respectively. The change in revenue was primarily attributable to a $14.7 million and $21.4 million increase in Premier League revenue for the three and six months ended March 31, 2026, respectively, due to two additional home games played by AFCB during the current year period compared to prior year period along with an overall increase in the quantum of funds available from the Premier League. In addition, there was an increase in matchday and sponsorship revenue in the three and six months ended March 31, 2026, compared to the corresponding period in 2025 which is primarily attributable to the inclusion of consolidated results for AFCB, FCL, and MFC in the current period compared to the inclusion of only AFCB in the prior year periods. For the three and six months ended March 31, 2026, FCL added $6.1 million and MFC added $5.1 million and $8.6 million, respectively.</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Depreciation and amortization for BKFC increased $19.7 million, or 70.4%, and $23.9 million or 43.3%, in the three and six months ended March 31, 2026, compared to the corresponding period in 2025, respectively. The increases are primarily attributable to AFCB and the increases in intangible assets for player registrations and property and equipment mainly for the new practice facility of $113.2 million, or 33.2%, and $39.4 million, or 60.9%, respectively, in the current year period compared to the prior year period. </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income (loss) attributable to Black Knight Football changed $49.9 million, or 191.2%, and $53.6 million, or 112.8%, in the three and six months ended March 31, 2026, compared to the corresponding periods in 2025, respectively. The change was primarily attributable to an increase in player trading income of $46.2 million and $45.5 million in the three and six months ended March 31, 2026, compared to the corresponding periods in 2025,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JANA Partners</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own approximately 50.0% of the ownership interest of JANA Partners. We account for our ownership of JANA under the equity method of accounting, and therefore its results do not consolidate into ours. We report our equity in the earnings or loss of JANA Partners on a three-month lag, and accordingly, our net earnings (loss) for the three and six months ended June 30, 2026 and 2025 includes our equity in JANA’s earnings for the three and six months ended March 31, 2026, and 2025, respectively.</w:t>
      </w:r>
    </w:p>
    <w:p>
      <w:pPr>
        <w:pStyle w:val="TextBody"/>
        <w:bidi w:val="0"/>
        <w:spacing w:lineRule="auto" w:line="26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Summarized statement of operations information for JANA Partners for the relevant dates and time periods included in Equity in losses of unconsolidated affiliates in our Condensed Consolidated Statements of Operations is presented below. </w:t>
      </w:r>
    </w:p>
    <w:tbl>
      <w:tblPr>
        <w:tblW w:w="6456" w:type="dxa"/>
        <w:jc w:val="left"/>
        <w:tblInd w:w="0" w:type="dxa"/>
        <w:tblLayout w:type="fixed"/>
        <w:tblCellMar>
          <w:top w:w="28" w:type="dxa"/>
          <w:left w:w="28" w:type="dxa"/>
          <w:bottom w:w="28" w:type="dxa"/>
          <w:right w:w="28" w:type="dxa"/>
        </w:tblCellMar>
      </w:tblPr>
      <w:tblGrid>
        <w:gridCol w:w="569"/>
        <w:gridCol w:w="501"/>
        <w:gridCol w:w="504"/>
        <w:gridCol w:w="279"/>
        <w:gridCol w:w="537"/>
        <w:gridCol w:w="144"/>
        <w:gridCol w:w="144"/>
        <w:gridCol w:w="144"/>
        <w:gridCol w:w="144"/>
        <w:gridCol w:w="279"/>
        <w:gridCol w:w="537"/>
        <w:gridCol w:w="144"/>
        <w:gridCol w:w="109"/>
        <w:gridCol w:w="109"/>
        <w:gridCol w:w="109"/>
        <w:gridCol w:w="228"/>
        <w:gridCol w:w="554"/>
        <w:gridCol w:w="118"/>
        <w:gridCol w:w="118"/>
        <w:gridCol w:w="118"/>
        <w:gridCol w:w="118"/>
        <w:gridCol w:w="228"/>
        <w:gridCol w:w="554"/>
        <w:gridCol w:w="167"/>
      </w:tblGrid>
      <w:tr>
        <w:trPr/>
        <w:tc>
          <w:tcPr>
            <w:tcW w:w="569"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537"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3" w:type="dxa"/>
            <w:gridSpan w:val="9"/>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Six months ended March 31,</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5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8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revenues</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3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5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r>
        <w:trPr/>
        <w:tc>
          <w:tcPr>
            <w:tcW w:w="1574"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9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0"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94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JANA's total revenue is primarily attributable to management fees earned from managing investment funds and performance fees earned which are calculated based on investment performance and various factors, including relative benchmarks, hurdles and preferred returns.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revenues decreased $14.6 million or 56.8% in the six months ended March 31, 2026 relative to the corresponding period in 2025. The change in revenue was primarily attributable to investment performance and the timing of certain performance fees earned over a multi-year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Corporate and Other</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Corporate and Other segment consists of our share in the operations of certain controlled businesses and other equity ownership interests, activity of the corporate holding company, certain intercompany eliminations and taxes. </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presents the results from operations of our non-reportable Corporate and other segment:</w:t>
      </w:r>
    </w:p>
    <w:tbl>
      <w:tblPr>
        <w:tblW w:w="10205" w:type="dxa"/>
        <w:jc w:val="left"/>
        <w:tblInd w:w="0" w:type="dxa"/>
        <w:tblLayout w:type="fixed"/>
        <w:tblCellMar>
          <w:top w:w="28" w:type="dxa"/>
          <w:left w:w="28" w:type="dxa"/>
          <w:bottom w:w="28" w:type="dxa"/>
          <w:right w:w="28" w:type="dxa"/>
        </w:tblCellMar>
      </w:tblPr>
      <w:tblGrid>
        <w:gridCol w:w="2094"/>
        <w:gridCol w:w="1699"/>
        <w:gridCol w:w="1710"/>
        <w:gridCol w:w="214"/>
        <w:gridCol w:w="518"/>
        <w:gridCol w:w="110"/>
        <w:gridCol w:w="110"/>
        <w:gridCol w:w="110"/>
        <w:gridCol w:w="110"/>
        <w:gridCol w:w="214"/>
        <w:gridCol w:w="681"/>
        <w:gridCol w:w="110"/>
        <w:gridCol w:w="109"/>
        <w:gridCol w:w="109"/>
        <w:gridCol w:w="109"/>
        <w:gridCol w:w="211"/>
        <w:gridCol w:w="511"/>
        <w:gridCol w:w="109"/>
        <w:gridCol w:w="109"/>
        <w:gridCol w:w="109"/>
        <w:gridCol w:w="109"/>
        <w:gridCol w:w="211"/>
        <w:gridCol w:w="670"/>
        <w:gridCol w:w="159"/>
      </w:tblGrid>
      <w:tr>
        <w:trPr/>
        <w:tc>
          <w:tcPr>
            <w:tcW w:w="2094" w:type="dxa"/>
            <w:tcBorders/>
            <w:vAlign w:val="center"/>
          </w:tcPr>
          <w:p>
            <w:pPr>
              <w:pStyle w:val="TableContents"/>
              <w:bidi w:val="0"/>
              <w:spacing w:before="0" w:after="283"/>
              <w:jc w:val="left"/>
              <w:rPr>
                <w:sz w:val="4"/>
                <w:szCs w:val="4"/>
              </w:rPr>
            </w:pPr>
            <w:r>
              <w:rPr>
                <w:sz w:val="4"/>
                <w:szCs w:val="4"/>
              </w:rPr>
            </w:r>
          </w:p>
        </w:tc>
        <w:tc>
          <w:tcPr>
            <w:tcW w:w="1699" w:type="dxa"/>
            <w:tcBorders/>
            <w:vAlign w:val="center"/>
          </w:tcPr>
          <w:p>
            <w:pPr>
              <w:pStyle w:val="TableContents"/>
              <w:bidi w:val="0"/>
              <w:spacing w:before="0" w:after="283"/>
              <w:jc w:val="left"/>
              <w:rPr>
                <w:sz w:val="4"/>
                <w:szCs w:val="4"/>
              </w:rPr>
            </w:pPr>
            <w:r>
              <w:rPr>
                <w:sz w:val="4"/>
                <w:szCs w:val="4"/>
              </w:rPr>
            </w:r>
          </w:p>
        </w:tc>
        <w:tc>
          <w:tcPr>
            <w:tcW w:w="17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51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5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5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0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revenue</w:t>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8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vAlign w:val="center"/>
          </w:tcPr>
          <w:p>
            <w:pPr>
              <w:pStyle w:val="TableContents"/>
              <w:bidi w:val="0"/>
              <w:spacing w:before="0" w:after="283"/>
              <w:jc w:val="left"/>
              <w:rPr>
                <w:sz w:val="4"/>
                <w:szCs w:val="4"/>
              </w:rPr>
            </w:pPr>
            <w:r>
              <w:rPr>
                <w:sz w:val="4"/>
                <w:szCs w:val="4"/>
              </w:rPr>
            </w:r>
          </w:p>
        </w:tc>
        <w:tc>
          <w:tcPr>
            <w:tcW w:w="842"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0" w:type="dxa"/>
            <w:gridSpan w:val="3"/>
            <w:tcBorders/>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89.2 </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loss</w:t>
            </w:r>
          </w:p>
        </w:tc>
        <w:tc>
          <w:tcPr>
            <w:tcW w:w="7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1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w:t>
            </w:r>
          </w:p>
        </w:tc>
        <w:tc>
          <w:tcPr>
            <w:tcW w:w="15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8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investment and other income</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7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(losses), net</w:t>
            </w:r>
          </w:p>
        </w:tc>
        <w:tc>
          <w:tcPr>
            <w:tcW w:w="7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7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w:t>
            </w:r>
          </w:p>
        </w:tc>
        <w:tc>
          <w:tcPr>
            <w:tcW w:w="11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w:t>
            </w:r>
          </w:p>
        </w:tc>
        <w:tc>
          <w:tcPr>
            <w:tcW w:w="1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taxes and equity in earnings (losses) of unconsolidated affiliates</w:t>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77.5 </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(132.2)</w:t>
            </w:r>
          </w:p>
        </w:tc>
        <w:tc>
          <w:tcPr>
            <w:tcW w:w="11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7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(143.8)</w:t>
            </w:r>
          </w:p>
        </w:tc>
        <w:tc>
          <w:tcPr>
            <w:tcW w:w="1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 xml:space="preserve">For the Three Months Ended June 30, 2026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Personnel costs decreased $23.7 million, or 73.8%, in the three months ended June 30, 2026, compared to the corresponding period in 2025. The change in personnel costs was primarily driven by a prior year transition in executive management and related employment agreement which resulted in a $17.2 million cash payment and $8.3 million in accelerated stock vesting, partially offset by a slight decrease in compensation expense in the current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decreased $25.3 million, or 72.7%, in the three months ended June 30, 2026, compared to the prior year period in 2025. The change was primarily attributable to $17.3 million in management fees and $8.3 million in termination fees incurred in the prior year period associated with the Management Services Agreement Termination Agreement (the "MSA Termination Agreement") entered into in the second quarter of 2025, which accelerated fees incurred with our Former Manager.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operating expenses, excluding Brasada and certain intercompany eliminations ("corporate holding company expenses"), were $8.9 million and $58.8 million in the three months ended June 30, 2026 and 2025, respectively. The decrease in Corporate Holding Company Expenses of $49.9 million, or 85%, in the three months ended June 30, 2026, compared to the corresponding period in 2025, was primarily attributable to the decrease in personnel costs associated with the executive management transition and reduction in management fees described above, and reflects the Company's board and management focus on cost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Recognized gains (losses), net in our Corporate and Other segment consists of the following:</w:t>
      </w:r>
    </w:p>
    <w:tbl>
      <w:tblPr>
        <w:tblW w:w="5538" w:type="dxa"/>
        <w:jc w:val="left"/>
        <w:tblInd w:w="0" w:type="dxa"/>
        <w:tblLayout w:type="fixed"/>
        <w:tblCellMar>
          <w:top w:w="28" w:type="dxa"/>
          <w:left w:w="28" w:type="dxa"/>
          <w:bottom w:w="28" w:type="dxa"/>
          <w:right w:w="28" w:type="dxa"/>
        </w:tblCellMar>
      </w:tblPr>
      <w:tblGrid>
        <w:gridCol w:w="989"/>
        <w:gridCol w:w="869"/>
        <w:gridCol w:w="872"/>
        <w:gridCol w:w="227"/>
        <w:gridCol w:w="549"/>
        <w:gridCol w:w="117"/>
        <w:gridCol w:w="117"/>
        <w:gridCol w:w="117"/>
        <w:gridCol w:w="117"/>
        <w:gridCol w:w="227"/>
        <w:gridCol w:w="630"/>
        <w:gridCol w:w="117"/>
        <w:gridCol w:w="109"/>
        <w:gridCol w:w="109"/>
        <w:gridCol w:w="109"/>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SpaceX fair value adjustments</w:t>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9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97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 impairment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Right fair value adjustments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Paysafe fair value adjustments</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fair value adjustments</w:t>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(losses), net</w:t>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(76.2)</w:t>
            </w:r>
          </w:p>
        </w:tc>
        <w:tc>
          <w:tcPr>
            <w:tcW w:w="11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40" w:after="120"/>
        <w:jc w:val="both"/>
        <w:rPr>
          <w:rFonts w:ascii="Times New Roman;serif" w:hAnsi="Times New Roman;serif"/>
          <w:b/>
          <w:i/>
          <w:color w:val="000000"/>
          <w:sz w:val="20"/>
        </w:rPr>
      </w:pPr>
      <w:r>
        <w:rPr>
          <w:rFonts w:ascii="Times New Roman;serif" w:hAnsi="Times New Roman;serif"/>
          <w:b/>
          <w:i/>
          <w:color w:val="000000"/>
          <w:sz w:val="20"/>
        </w:rPr>
        <w:t>For the Six Months Ended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Personnel costs decreased $26.9 million, or 63.7%, in the six months ended June 30, 2026, compared to the corresponding period in 2025. The change in personnel costs was primarily driven by a prior year transition in executive management and related employment agreement which resulted in a $17.2 million cash payment and $8.3 million in accelerated stock vesting, partially offset by a decrease in compensation expense in the current year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decreased $28.5 million, or 62.2%, in the six months ended June 30, 2026 compared to the prior year period. The change was primarily attributable to the MSA Termination Agreement in the prior year which accelerated fees incurred with our Former Manager including $19.0 million in management fees and $9.9 million in termination fees.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Corporate Holding Company Expenses were $17.8 million and $74.9 million in the six months ended June 30, 2026 and 2025, respectively. The decrease in Corporate Holding Company Expenses of $57.1 million, or 76.2%, in the six months ended June 30, 2026, compared to the corresponding period in 2025, was primarily attributable to the decrease in personnel costs associated with the executive management transition and reduction in management fees described above and reflects the Company's board and management focus on cost reduction.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Recognized gains (losses), net in our Corporate and Other segment consists of the following:</w:t>
      </w:r>
    </w:p>
    <w:tbl>
      <w:tblPr>
        <w:tblW w:w="4948" w:type="dxa"/>
        <w:jc w:val="left"/>
        <w:tblInd w:w="0" w:type="dxa"/>
        <w:tblLayout w:type="fixed"/>
        <w:tblCellMar>
          <w:top w:w="28" w:type="dxa"/>
          <w:left w:w="28" w:type="dxa"/>
          <w:bottom w:w="28" w:type="dxa"/>
          <w:right w:w="28" w:type="dxa"/>
        </w:tblCellMar>
      </w:tblPr>
      <w:tblGrid>
        <w:gridCol w:w="989"/>
        <w:gridCol w:w="869"/>
        <w:gridCol w:w="872"/>
        <w:gridCol w:w="211"/>
        <w:gridCol w:w="511"/>
        <w:gridCol w:w="109"/>
        <w:gridCol w:w="109"/>
        <w:gridCol w:w="109"/>
        <w:gridCol w:w="109"/>
        <w:gridCol w:w="211"/>
        <w:gridCol w:w="586"/>
        <w:gridCol w:w="109"/>
        <w:gridCol w:w="154"/>
      </w:tblGrid>
      <w:tr>
        <w:trPr/>
        <w:tc>
          <w:tcPr>
            <w:tcW w:w="98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SpaceX fair value adjustments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Put Right fair value adjustments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WineDirect transaction </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Alight impairment</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Paysafe fair value adjustments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fair value adjustments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Recognized gains (losses), net</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20" w:after="120"/>
        <w:jc w:val="both"/>
        <w:rPr>
          <w:rFonts w:ascii="Times New Roman;serif" w:hAnsi="Times New Roman;serif"/>
          <w:b/>
          <w:i/>
          <w:color w:val="000000"/>
          <w:sz w:val="20"/>
        </w:rPr>
      </w:pPr>
      <w:r>
        <w:rPr>
          <w:rFonts w:ascii="Times New Roman;serif" w:hAnsi="Times New Roman;serif"/>
          <w:b/>
          <w:i/>
          <w:color w:val="000000"/>
          <w:sz w:val="20"/>
        </w:rPr>
        <w:t>Discontinued Operations</w:t>
      </w:r>
    </w:p>
    <w:p>
      <w:pPr>
        <w:pStyle w:val="TextBody"/>
        <w:bidi w:val="0"/>
        <w:spacing w:lineRule="auto" w:line="276"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a result of the D&amp;B Sale, the financial results of D&amp;B have been reclassified to discontinued operations. See Note J to our Condensed Consolidated Financial Statements included in Item 1 of Part I of this Quarterly Report for further details on the amounts included in discontinued operations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10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76" w:before="100" w:after="100"/>
        <w:ind w:left="0" w:right="0" w:firstLine="360"/>
        <w:jc w:val="both"/>
        <w:rPr/>
      </w:pPr>
      <w:r>
        <w:rPr>
          <w:rFonts w:ascii="Times New Roman;serif" w:hAnsi="Times New Roman;serif"/>
          <w:b w:val="false"/>
          <w:i/>
          <w:color w:val="000000"/>
          <w:sz w:val="20"/>
        </w:rPr>
        <w:t>Cash Requirements.</w:t>
      </w:r>
      <w:r>
        <w:rPr>
          <w:color w:val="000000"/>
        </w:rPr>
        <w:t xml:space="preserve"> </w:t>
      </w:r>
      <w:r>
        <w:rPr>
          <w:rFonts w:ascii="Times New Roman;serif" w:hAnsi="Times New Roman;serif"/>
          <w:b w:val="false"/>
          <w:color w:val="000000"/>
          <w:sz w:val="20"/>
        </w:rPr>
        <w:t>Our short and long term cash requirements include management fees, personnel costs, other operating expenses, taxes, payments of interest and principal on our debt, capital expenditures, dividends on our common stock, and other potential business acquisitions or investments. On August 6, 2026, our Board declared cash dividends of $0.15 per share, payable on September 30, 2026, to Cannae common shareholders of record as of September 16, 2026. There are no restrictions on our retained earnings regarding our ability to pay dividends to stockholders. The declaration of any future dividends is at the discretion of our Board. Additional uses of cash flow beyond the foregoing over the short and long term are expected to include stock repurchases and debt repayments.</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we had cash and cash equivalents of $70.4 million, of which $46.0 million was cash held by the corporate holding company. Subsequent to June 30, 2026, we received $90.0 million in cash proceeds from the sale of our investment in Watkins.</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continually assess our capital allocation strategy, including decisions relating to repurchasing our stock, paying dividends, reducing debt, and/or conserving cash. We believe that all anticipated cash requirements for current operations will be met from internally generated funds, cash dividends or distributions from subsidiaries and holdings, cash generated from short-term investments, potential sales of non-strategic assets, and borrowings on existing credit facilities. Our short-term and long-term liquidity requirements are monitored regularly to ensure that we can meet our cash requirements. We forecast the Company's liquidity needs and periodically review the short-term and long-term projected sources and uses of funds, as well as the asset, liability, investment and cash flow assumptions underlying such forecasts. As part of such forecasting, we actively manage the impact of rising interest rates on both our idle cash.</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are focused on evaluating our assets and investments as potential vehicles for creating liquidity. Our intent is to use that liquidity for general corporate purposes, including funding future investments, other strategic initiatives and/or conserving cash.</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is engaged in actively managing and operating a core group of operating companies. The Company accounts for many of its material holdings on an unconsolidated basis and therefore, a material portion of the cash inflow the Company generates is reported in cash flows from investing activities pursuant to GAAP. As a result of such accounting treatment,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00" w:after="100"/>
        <w:jc w:val="both"/>
        <w:rPr>
          <w:rFonts w:ascii="Times New Roman;serif" w:hAnsi="Times New Roman;serif"/>
          <w:b w:val="false"/>
          <w:color w:val="000000"/>
          <w:sz w:val="20"/>
        </w:rPr>
      </w:pPr>
      <w:r>
        <w:rPr>
          <w:rFonts w:ascii="Times New Roman;serif" w:hAnsi="Times New Roman;serif"/>
          <w:b w:val="false"/>
          <w:color w:val="000000"/>
          <w:sz w:val="20"/>
        </w:rPr>
        <w:t>Company expects to continue to generate a material portion of its cash inflow from activities classified as investing activities under GAAP and does not expect to generate positive operating cash flows on a regular basis. The cash requirements of the Company typically come from the activities classified as investing activities under GAAP as we receive distributions from unconsolidated affiliates and at times sell a portion or all of our investment in these various operating companies.</w:t>
      </w:r>
    </w:p>
    <w:p>
      <w:pPr>
        <w:pStyle w:val="TextBody"/>
        <w:bidi w:val="0"/>
        <w:spacing w:lineRule="auto" w:line="276" w:before="100" w:after="100"/>
        <w:jc w:val="both"/>
        <w:rPr>
          <w:rFonts w:ascii="Times New Roman;serif" w:hAnsi="Times New Roman;serif"/>
          <w:b/>
          <w:i/>
          <w:color w:val="000000"/>
          <w:sz w:val="20"/>
        </w:rPr>
      </w:pPr>
      <w:r>
        <w:rPr>
          <w:rFonts w:ascii="Times New Roman;serif" w:hAnsi="Times New Roman;serif"/>
          <w:b/>
          <w:i/>
          <w:color w:val="000000"/>
          <w:sz w:val="20"/>
        </w:rPr>
        <w:t>Cash Flows for the Six Months Ended June 30, 2026</w:t>
      </w:r>
    </w:p>
    <w:p>
      <w:pPr>
        <w:pStyle w:val="TextBody"/>
        <w:bidi w:val="0"/>
        <w:spacing w:lineRule="auto" w:line="276" w:before="100" w:after="100"/>
        <w:ind w:left="0" w:right="0" w:firstLine="360"/>
        <w:jc w:val="both"/>
        <w:rPr/>
      </w:pPr>
      <w:r>
        <w:rPr>
          <w:rFonts w:ascii="Times New Roman;serif" w:hAnsi="Times New Roman;serif"/>
          <w:b w:val="false"/>
          <w:i/>
          <w:color w:val="000000"/>
          <w:sz w:val="20"/>
        </w:rPr>
        <w:t>Operating Cash Flow</w:t>
      </w:r>
      <w:r>
        <w:rPr>
          <w:rFonts w:ascii="Times New Roman;serif" w:hAnsi="Times New Roman;serif"/>
          <w:b w:val="false"/>
          <w:color w:val="000000"/>
          <w:sz w:val="20"/>
        </w:rPr>
        <w:t>. Our cash flows used in operations for the six months ended June 30, 2026 and 2025 totaled $26.4 million and $12.5 million, respectively. The change in cash used in operations of $13.9 million is primarily attributable to $24.5 million of cash refunds of taxes in the 2025 period compared to the $1.2 million in the 2026 period, partially offset by management and termination fees paid to our Former Manager of $21.0 million in the 2025 period compared to $11.4 million in the 2026 period. See Footnote I for additional information on cash paid for income taxes, net of refunds and Footnote A for additional information on cash paid for management and termination fees.</w:t>
      </w:r>
    </w:p>
    <w:p>
      <w:pPr>
        <w:pStyle w:val="TextBody"/>
        <w:bidi w:val="0"/>
        <w:spacing w:lineRule="auto" w:line="276" w:before="100" w:after="100"/>
        <w:ind w:left="0" w:right="0" w:firstLine="360"/>
        <w:jc w:val="both"/>
        <w:rPr/>
      </w:pPr>
      <w:r>
        <w:rPr>
          <w:rFonts w:ascii="Times New Roman;serif" w:hAnsi="Times New Roman;serif"/>
          <w:b w:val="false"/>
          <w:i/>
          <w:color w:val="000000"/>
          <w:sz w:val="20"/>
        </w:rPr>
        <w:t xml:space="preserve">Investing Cash Flows. </w:t>
      </w:r>
      <w:r>
        <w:rPr>
          <w:rFonts w:ascii="Times New Roman;serif" w:hAnsi="Times New Roman;serif"/>
          <w:b w:val="false"/>
          <w:color w:val="000000"/>
          <w:sz w:val="20"/>
        </w:rPr>
        <w:t xml:space="preserve">Our cash flows (used in) provided by investing activities for the six months ended June 30, 2026 and 2025 were $(21.0) million and $77.5 million, respectively. The change in cash (used in) provided by investing activities of $98.5 million is primarily attributable to cash proceeds from our prior year sales of 10.0 million shares of D&amp;B for $89.5 million and cash proceeds received of $13.6 million in the spin-off of WineDirect, Inc. compared to nominal sales of investments in the current year period. In addition, the Company made cash investments in BKFC of $25.0 million in the prior period and in the current period invested $14.6 million in BKFC and $9.6 million in Exeter. </w:t>
      </w:r>
    </w:p>
    <w:p>
      <w:pPr>
        <w:pStyle w:val="TextBody"/>
        <w:bidi w:val="0"/>
        <w:spacing w:lineRule="auto" w:line="276" w:before="100" w:after="100"/>
        <w:ind w:left="0" w:right="0" w:firstLine="360"/>
        <w:jc w:val="both"/>
        <w:rPr/>
      </w:pPr>
      <w:r>
        <w:rPr>
          <w:rFonts w:ascii="Times New Roman;serif" w:hAnsi="Times New Roman;serif"/>
          <w:b w:val="false"/>
          <w:i/>
          <w:color w:val="000000"/>
          <w:sz w:val="20"/>
        </w:rPr>
        <w:t xml:space="preserve">Financing Cash Flows. </w:t>
      </w:r>
      <w:r>
        <w:rPr>
          <w:rFonts w:ascii="Times New Roman;serif" w:hAnsi="Times New Roman;serif"/>
          <w:b w:val="false"/>
          <w:color w:val="000000"/>
          <w:sz w:val="20"/>
        </w:rPr>
        <w:t>Our cash flows used in financing activities for the six months ended June 30, 2026 and 2025 were $62.6 million and $129.8 million, respectively. The change in cash used in financing activities of $67.2 million is primarily attributable to $44.3 million of repurchases of treasury stock in the 2026 period compared to $111.5 million in the 2025 period.</w:t>
      </w:r>
    </w:p>
    <w:p>
      <w:pPr>
        <w:pStyle w:val="TextBody"/>
        <w:bidi w:val="0"/>
        <w:spacing w:lineRule="auto" w:line="276" w:before="100" w:after="100"/>
        <w:ind w:left="0" w:right="0" w:firstLine="360"/>
        <w:jc w:val="both"/>
        <w:rPr/>
      </w:pPr>
      <w:r>
        <w:rPr>
          <w:rFonts w:ascii="Times New Roman;serif" w:hAnsi="Times New Roman;serif"/>
          <w:b w:val="false"/>
          <w:i/>
          <w:color w:val="000000"/>
          <w:sz w:val="20"/>
        </w:rPr>
        <w:t xml:space="preserve">Financing Arrangements. </w:t>
      </w:r>
      <w:r>
        <w:rPr>
          <w:rFonts w:ascii="Times New Roman;serif" w:hAnsi="Times New Roman;serif"/>
          <w:b w:val="false"/>
          <w:color w:val="000000"/>
          <w:sz w:val="20"/>
        </w:rPr>
        <w:t xml:space="preserve">For a description of our financing arrangements, see Note G - </w:t>
      </w:r>
      <w:r>
        <w:rPr>
          <w:rFonts w:ascii="Times New Roman;serif" w:hAnsi="Times New Roman;serif"/>
          <w:b w:val="false"/>
          <w:i/>
          <w:color w:val="000000"/>
          <w:sz w:val="20"/>
        </w:rPr>
        <w:t>Notes Payable</w:t>
      </w:r>
      <w:r>
        <w:rPr>
          <w:color w:val="000000"/>
        </w:rPr>
        <w:t xml:space="preserve"> </w:t>
      </w:r>
      <w:r>
        <w:rPr>
          <w:rFonts w:ascii="Times New Roman;serif" w:hAnsi="Times New Roman;serif"/>
          <w:b w:val="false"/>
          <w:color w:val="000000"/>
          <w:sz w:val="20"/>
        </w:rPr>
        <w:t>included in Item 1 of Part I of this Quarterly Report, which is incorporated by reference into this Item 2 of Part I.</w:t>
      </w:r>
    </w:p>
    <w:p>
      <w:pPr>
        <w:pStyle w:val="TextBody"/>
        <w:bidi w:val="0"/>
        <w:spacing w:lineRule="auto" w:line="276" w:before="100" w:after="100"/>
        <w:ind w:left="0" w:right="0" w:firstLine="360"/>
        <w:jc w:val="both"/>
        <w:rPr/>
      </w:pPr>
      <w:r>
        <w:rPr>
          <w:rFonts w:ascii="Times New Roman;serif" w:hAnsi="Times New Roman;serif"/>
          <w:b w:val="false"/>
          <w:i/>
          <w:color w:val="000000"/>
          <w:sz w:val="20"/>
        </w:rPr>
        <w:t>Seasonality.</w:t>
      </w:r>
      <w:r>
        <w:rPr>
          <w:color w:val="000000"/>
        </w:rPr>
        <w:t> </w:t>
      </w:r>
      <w:r>
        <w:rPr>
          <w:rFonts w:ascii="Times New Roman;serif" w:hAnsi="Times New Roman;serif"/>
          <w:b w:val="false"/>
          <w:color w:val="000000"/>
          <w:sz w:val="20"/>
        </w:rPr>
        <w:t>There have been no material changes to the seasonality experienced in our businesses from those described for the period as of and for the year ended December 31, 2025 included in our Annual Report.</w:t>
      </w:r>
    </w:p>
    <w:p>
      <w:pPr>
        <w:pStyle w:val="TextBody"/>
        <w:bidi w:val="0"/>
        <w:spacing w:lineRule="auto" w:line="276" w:before="100" w:after="100"/>
        <w:ind w:left="0" w:right="0" w:firstLine="360"/>
        <w:jc w:val="both"/>
        <w:rPr/>
      </w:pPr>
      <w:r>
        <w:rPr>
          <w:rFonts w:ascii="Times New Roman;serif" w:hAnsi="Times New Roman;serif"/>
          <w:b w:val="false"/>
          <w:i/>
          <w:color w:val="000000"/>
          <w:sz w:val="20"/>
        </w:rPr>
        <w:t>Contractual Obligations.</w:t>
      </w:r>
      <w:r>
        <w:rPr>
          <w:color w:val="000000"/>
        </w:rPr>
        <w:t xml:space="preserve"> </w:t>
      </w:r>
      <w:r>
        <w:rPr>
          <w:rFonts w:ascii="Times New Roman;serif" w:hAnsi="Times New Roman;serif"/>
          <w:b w:val="false"/>
          <w:color w:val="000000"/>
          <w:sz w:val="20"/>
        </w:rPr>
        <w:t>Our long-term contractual obligations generally include our credit agreements and other debt facilities, lease payments and financing obligations on certain of our premises and equipment, purchase obligations of the Restaurant Group and payments to our Former Manager.</w:t>
      </w:r>
    </w:p>
    <w:p>
      <w:pPr>
        <w:pStyle w:val="TextBody"/>
        <w:bidi w:val="0"/>
        <w:spacing w:lineRule="auto" w:line="276" w:before="100" w:after="100"/>
        <w:ind w:left="0" w:right="0" w:firstLine="360"/>
        <w:jc w:val="both"/>
        <w:rPr/>
      </w:pPr>
      <w:r>
        <w:rPr>
          <w:rFonts w:ascii="Times New Roman;serif" w:hAnsi="Times New Roman;serif"/>
          <w:b w:val="false"/>
          <w:color w:val="000000"/>
          <w:sz w:val="20"/>
        </w:rPr>
        <w:t xml:space="preserve">Operating lease payments include the expected future rent payments of the Company and its operating subsidiaries, primarily for the Restaurant Group. The operating leases are accounted for pursuant to ASC 842 </w:t>
      </w:r>
      <w:r>
        <w:rPr>
          <w:rFonts w:ascii="Times New Roman;serif" w:hAnsi="Times New Roman;serif"/>
          <w:b w:val="false"/>
          <w:i/>
          <w:color w:val="000000"/>
          <w:sz w:val="20"/>
        </w:rPr>
        <w:t>Leases</w:t>
      </w:r>
      <w:r>
        <w:rPr>
          <w:rFonts w:ascii="Times New Roman;serif" w:hAnsi="Times New Roman;serif"/>
          <w:b w:val="false"/>
          <w:color w:val="000000"/>
          <w:sz w:val="20"/>
        </w:rPr>
        <w:t>.</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Purchase obligations include agreements to purchase goods or services that are enforceable, are legally binding and specify all significant terms, including fixed or minimum quantities to be purchased; fixed, minimum or variable price provisions; and the approximate timing of the transaction. The Restaurant Group has unconditional purchase obligations with various vendors, primarily related to food and beverage obligations with fixed commitments in regard to the time period of the contract and the quantities purchased with annual price adjustments that can fluctuate. Future purchase obligations are estimated by assuming historical purchase activity over the remaining, non-cancellable terms of the various agreements. For agreements with minimum purchase obligations, at least the minimum amounts we are legally required to purchase are included. These agreements do not include fixed delivery terms. We used both historical and projected volume and pricing as of June 30, 2026 to determine the amount of these obligations.</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of June 30, 2026, our required future payments relating to these contractual obligations were as follows:</w:t>
      </w:r>
    </w:p>
    <w:tbl>
      <w:tblPr>
        <w:tblW w:w="10205" w:type="dxa"/>
        <w:jc w:val="left"/>
        <w:tblInd w:w="0" w:type="dxa"/>
        <w:tblLayout w:type="fixed"/>
        <w:tblCellMar>
          <w:top w:w="28" w:type="dxa"/>
          <w:left w:w="28" w:type="dxa"/>
          <w:bottom w:w="28" w:type="dxa"/>
          <w:right w:w="28" w:type="dxa"/>
        </w:tblCellMar>
      </w:tblPr>
      <w:tblGrid>
        <w:gridCol w:w="935"/>
        <w:gridCol w:w="640"/>
        <w:gridCol w:w="645"/>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24"/>
        <w:gridCol w:w="544"/>
        <w:gridCol w:w="118"/>
        <w:gridCol w:w="109"/>
        <w:gridCol w:w="109"/>
        <w:gridCol w:w="109"/>
        <w:gridCol w:w="211"/>
        <w:gridCol w:w="616"/>
        <w:gridCol w:w="155"/>
      </w:tblGrid>
      <w:tr>
        <w:trPr/>
        <w:tc>
          <w:tcPr>
            <w:tcW w:w="935"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Thereafter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2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8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millions)</w:t>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payments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Unconditional purchase obligations</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Notes payable</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Fees payable to Former Manager</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Restaurant Group financing obligations</w:t>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93.2 </w:t>
            </w:r>
          </w:p>
        </w:tc>
        <w:tc>
          <w:tcPr>
            <w:tcW w:w="11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291.0 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00" w:after="100"/>
        <w:ind w:left="0" w:right="0" w:firstLine="360"/>
        <w:jc w:val="both"/>
        <w:rPr/>
      </w:pPr>
      <w:r>
        <w:rPr>
          <w:rFonts w:ascii="Times New Roman;serif" w:hAnsi="Times New Roman;serif"/>
          <w:b w:val="false"/>
          <w:i/>
          <w:color w:val="000000"/>
          <w:sz w:val="20"/>
        </w:rPr>
        <w:t>Capital Stock Transactions</w:t>
      </w:r>
      <w:r>
        <w:rPr>
          <w:rFonts w:ascii="Times New Roman;serif" w:hAnsi="Times New Roman;serif"/>
          <w:b w:val="false"/>
          <w:color w:val="000000"/>
          <w:sz w:val="20"/>
        </w:rPr>
        <w:t xml:space="preserve">. On March 24, 2025, our Board authorized a new stock repurchase program (the "2025 Repurchase Program"), under which the Company may repurchase up to 10.0 million shares of its common stock. Such repurchases may be made from time to time in the open market at prevailing prices or in privately negotiated transactions. The 2025 Repurchase Program does not obligate us to acquire any specific number of shares and may be suspended or terminated at any time. The 2025 Repurchase Program does not supersede or impact the repurchase capacity under the prior authorizations. During the three months ended June 30, 2026, we repurchased a total of 2,242,500 shares of Cannae common stock for approximately $29.1 million in the aggregate, or an average of $12.99 per share under the 2025 Repurchase program. During the six months ended June 30, 2026, we repurchased a total of 3,427,500 shares of Cannae common stock for approximately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76" w:before="100" w:after="100"/>
        <w:jc w:val="both"/>
        <w:rPr>
          <w:rFonts w:ascii="Times New Roman;serif" w:hAnsi="Times New Roman;serif"/>
          <w:b w:val="false"/>
          <w:color w:val="000000"/>
          <w:sz w:val="20"/>
        </w:rPr>
      </w:pPr>
      <w:r>
        <w:rPr>
          <w:rFonts w:ascii="Times New Roman;serif" w:hAnsi="Times New Roman;serif"/>
          <w:b w:val="false"/>
          <w:color w:val="000000"/>
          <w:sz w:val="20"/>
        </w:rPr>
        <w:t>$44.3 million in the aggregate, or an average of $12.94 per share under the 2025 Repurchase program. Since the original commencement of the 2025 Repurchase Program through market close on August 7, 2026, we have repurchased a total of 8,128,413 shares of Cannae common stock for approximately $124.9 million in the aggregate, or an average of $15.36 per share. As of the date of this Quarterly Report, there are 1,871,587 shares available for repurchase under the 2025 Repurchase Program.</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March 9, 2026, our Board authorized a new stock repurchase program (the "2026 Repurchase Program"), under which the Company may repurchase up to 10.0 million shares of its common stock. Such repurchases may be made from time to time in the open market at prevailing prices or in privately negotiated transactions. The 2026 Repurchase Program does not obligate us to acquire any specific number of shares and may be suspended or terminated at any time. The 2026 Repurchase Program does not supersede or impact the repurchase capacity under the prior authorizations. We have not made any purchases under the 2026 Repurchase Program. As of the date of this Quarterly Report, there are 10.0 million shares available for repurchase under the 2026 Repurchase Program.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 about Market Risk</w:t>
      </w:r>
    </w:p>
    <w:p>
      <w:pPr>
        <w:pStyle w:val="TextBody"/>
        <w:bidi w:val="0"/>
        <w:spacing w:lineRule="auto" w:line="276" w:before="10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there have been no material changes in the market risks described in Part II, Item 7A "Quantitative and Qualitative Disclosures about Market Risk" in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100" w:after="100"/>
        <w:jc w:val="both"/>
        <w:rPr>
          <w:rFonts w:ascii="Times New Roman;serif" w:hAnsi="Times New Roman;serif"/>
          <w:b w:val="false"/>
          <w:i/>
          <w:color w:val="000000"/>
          <w:sz w:val="20"/>
        </w:rPr>
      </w:pPr>
      <w:r>
        <w:rPr>
          <w:rFonts w:ascii="Times New Roman;serif" w:hAnsi="Times New Roman;serif"/>
          <w:b w:val="false"/>
          <w:i/>
          <w:color w:val="000000"/>
          <w:sz w:val="20"/>
        </w:rPr>
        <w:t>Evaluation of Disclosure Controls and Procedures</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maintains disclosure controls and procedures, as such term is defined in Exchange Act Rules 13a-15(e) and 15d-15(e),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our principal executive officer and principal financial officer, as appropriate, to allow timely decisions regarding required disclosures.</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management, under the supervision and with the participation of our principal executive officer and principal financial officer, evaluated the effectiveness of the design and operation of our disclosure controls and procedures as of June 30, 2026. Any controls and procedures, no matter how well designed and operated, can provide only reasonable assurance of achieving the desired control objectives. Based on that evaluation, our management, including our principal executive officer and principal financial officer, concluded that our disclosure controls and procedures were not effective as of June 30, 2026, solely because of the material weakness described below which has not yet been completely remediated.</w:t>
      </w:r>
    </w:p>
    <w:p>
      <w:pPr>
        <w:pStyle w:val="TextBody"/>
        <w:bidi w:val="0"/>
        <w:spacing w:lineRule="auto" w:line="276" w:before="100" w:after="100"/>
        <w:jc w:val="both"/>
        <w:rPr>
          <w:rFonts w:ascii="Times New Roman;serif" w:hAnsi="Times New Roman;serif"/>
          <w:b w:val="false"/>
          <w:i/>
          <w:color w:val="000000"/>
          <w:sz w:val="20"/>
        </w:rPr>
      </w:pPr>
      <w:r>
        <w:rPr>
          <w:rFonts w:ascii="Times New Roman;serif" w:hAnsi="Times New Roman;serif"/>
          <w:b w:val="false"/>
          <w:i/>
          <w:color w:val="000000"/>
          <w:sz w:val="20"/>
        </w:rPr>
        <w:t>Status of Remediation of Previously Disclosed Material Weakness</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 previously disclosed in Item 9A of our Annual Report on Form 10-K for the year ended December 31, 2025, and in Item 4 of our Quarterly Report on Form 10-Q for the period ended March 31, 2026, management identified a material weakness in our internal control over financial reporting related to the design and operation of controls over the determination of impairment charges for right-of-use ("ROU") assets and fixed assets held at the Restaurant Group. Specifically, the Company lacked appropriately designed and operating controls to ensure that impairment analyses, when performed, were evaluated in accordance with applicable accounting guidance.</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Management, under the oversight of the Audit Committee, has designed and implemented the following measures:</w:t>
      </w:r>
    </w:p>
    <w:p>
      <w:pPr>
        <w:pStyle w:val="TextBody"/>
        <w:bidi w:val="0"/>
        <w:spacing w:lineRule="auto" w:line="276" w:before="100" w:after="100"/>
        <w:ind w:left="0" w:right="0" w:hanging="360"/>
        <w:jc w:val="both"/>
        <w:rPr/>
      </w:pPr>
      <w:r>
        <w:rPr>
          <w:color w:val="000000"/>
        </w:rPr>
        <w:t>•</w:t>
      </w:r>
      <w:r>
        <w:rPr>
          <w:rFonts w:ascii="Times New Roman;serif" w:hAnsi="Times New Roman;serif"/>
          <w:b w:val="false"/>
          <w:color w:val="000000"/>
          <w:sz w:val="20"/>
        </w:rPr>
        <w:t>Enhanced controls over the identification of triggering events requiring impairment analysis for ROU assets and fixed assets at the Restaurant Group, including more formalized store-level performance and closure monitoring.</w:t>
      </w:r>
    </w:p>
    <w:p>
      <w:pPr>
        <w:pStyle w:val="TextBody"/>
        <w:bidi w:val="0"/>
        <w:spacing w:lineRule="auto" w:line="276" w:before="100" w:after="100"/>
        <w:ind w:left="0" w:right="0" w:hanging="360"/>
        <w:jc w:val="both"/>
        <w:rPr/>
      </w:pPr>
      <w:r>
        <w:rPr>
          <w:color w:val="000000"/>
        </w:rPr>
        <w:t>•</w:t>
      </w:r>
      <w:r>
        <w:rPr>
          <w:rFonts w:ascii="Times New Roman;serif" w:hAnsi="Times New Roman;serif"/>
          <w:b w:val="false"/>
          <w:color w:val="000000"/>
          <w:sz w:val="20"/>
        </w:rPr>
        <w:t>Strengthened review controls over impairment calculations, including increased involvement of technical accounting personnel with appropriate expertise in ASC 360 and ASC 842.</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material weakness will not be considered fully remediated until the applicable remediation measures have operated for a sufficient period of time and management has concluded that these controls are operating effectively. Accordingly, the previously disclosed material weakness has not been remediated.</w:t>
      </w:r>
    </w:p>
    <w:p>
      <w:pPr>
        <w:pStyle w:val="TextBody"/>
        <w:bidi w:val="0"/>
        <w:spacing w:lineRule="auto" w:line="276"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expect to remediate the material weakness noted above during the year ending December 31, 2026. However, there can be no assurance these remediation measures will be successful or that additional actions will not be required.</w:t>
      </w:r>
    </w:p>
    <w:p>
      <w:pPr>
        <w:pStyle w:val="TextBody"/>
        <w:bidi w:val="0"/>
        <w:spacing w:lineRule="auto" w:line="276" w:before="100" w:after="100"/>
        <w:jc w:val="both"/>
        <w:rPr>
          <w:rFonts w:ascii="Times New Roman;serif" w:hAnsi="Times New Roman;serif"/>
          <w:b w:val="false"/>
          <w:i/>
          <w:color w:val="000000"/>
          <w:sz w:val="20"/>
        </w:rPr>
      </w:pPr>
      <w:r>
        <w:rPr>
          <w:rFonts w:ascii="Times New Roman;serif" w:hAnsi="Times New Roman;serif"/>
          <w:b w:val="false"/>
          <w:i/>
          <w:color w:val="000000"/>
          <w:sz w:val="20"/>
        </w:rPr>
        <w:t>Changes in Internal Control over Financial Reporting</w:t>
      </w:r>
    </w:p>
    <w:p>
      <w:pPr>
        <w:pStyle w:val="TextBody"/>
        <w:bidi w:val="0"/>
        <w:spacing w:lineRule="auto" w:line="276"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than the remediation measures described above, which constitute a change in our internal control over financial reporting during the quarter ended June 30, 2026, there were no changes in our internal control over financial reporting that occurred during the quarter ended June 30, 2026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00" w:after="10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100" w:after="100"/>
        <w:ind w:left="0" w:right="0" w:firstLine="360"/>
        <w:jc w:val="both"/>
        <w:rPr/>
      </w:pPr>
      <w:r>
        <w:rPr>
          <w:rFonts w:ascii="Times New Roman;serif" w:hAnsi="Times New Roman;serif"/>
          <w:b w:val="false"/>
          <w:color w:val="000000"/>
          <w:sz w:val="20"/>
        </w:rPr>
        <w:t xml:space="preserve">See discussion of legal proceedings in Note H - </w:t>
      </w:r>
      <w:r>
        <w:rPr>
          <w:rFonts w:ascii="Times New Roman;serif" w:hAnsi="Times New Roman;serif"/>
          <w:b w:val="false"/>
          <w:i/>
          <w:color w:val="000000"/>
          <w:sz w:val="20"/>
        </w:rPr>
        <w:t>Commitments and Contingencies</w:t>
      </w:r>
      <w:r>
        <w:rPr>
          <w:color w:val="000000"/>
        </w:rPr>
        <w:t xml:space="preserve"> </w:t>
      </w:r>
      <w:r>
        <w:rPr>
          <w:rFonts w:ascii="Times New Roman;serif" w:hAnsi="Times New Roman;serif"/>
          <w:b w:val="false"/>
          <w:color w:val="000000"/>
          <w:sz w:val="20"/>
        </w:rPr>
        <w:t>to the Condensed Consolidated Financial Statements included in Item 1 of Part I of this Quarterly Report, which is incorporated by reference into this Item 1 of 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5785" w:type="dxa"/>
        <w:jc w:val="left"/>
        <w:tblInd w:w="0" w:type="dxa"/>
        <w:tblLayout w:type="fixed"/>
        <w:tblCellMar>
          <w:top w:w="28" w:type="dxa"/>
          <w:left w:w="28" w:type="dxa"/>
          <w:bottom w:w="28" w:type="dxa"/>
          <w:right w:w="28" w:type="dxa"/>
        </w:tblCellMar>
      </w:tblPr>
      <w:tblGrid>
        <w:gridCol w:w="239"/>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10"/>
        <w:gridCol w:w="296"/>
      </w:tblGrid>
      <w:tr>
        <w:trPr/>
        <w:tc>
          <w:tcPr>
            <w:tcW w:w="23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5785"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76" w:before="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repurchases of equity securities by the Company during the three months ended June 30, 2026:</w:t>
      </w:r>
    </w:p>
    <w:tbl>
      <w:tblPr>
        <w:tblW w:w="10205" w:type="dxa"/>
        <w:jc w:val="left"/>
        <w:tblInd w:w="0" w:type="dxa"/>
        <w:tblLayout w:type="fixed"/>
        <w:tblCellMar>
          <w:top w:w="28" w:type="dxa"/>
          <w:left w:w="28" w:type="dxa"/>
          <w:bottom w:w="28" w:type="dxa"/>
          <w:right w:w="28" w:type="dxa"/>
        </w:tblCellMar>
      </w:tblPr>
      <w:tblGrid>
        <w:gridCol w:w="426"/>
        <w:gridCol w:w="375"/>
        <w:gridCol w:w="382"/>
        <w:gridCol w:w="109"/>
        <w:gridCol w:w="109"/>
        <w:gridCol w:w="109"/>
        <w:gridCol w:w="730"/>
        <w:gridCol w:w="409"/>
        <w:gridCol w:w="410"/>
        <w:gridCol w:w="109"/>
        <w:gridCol w:w="109"/>
        <w:gridCol w:w="109"/>
        <w:gridCol w:w="273"/>
        <w:gridCol w:w="798"/>
        <w:gridCol w:w="141"/>
        <w:gridCol w:w="109"/>
        <w:gridCol w:w="109"/>
        <w:gridCol w:w="109"/>
        <w:gridCol w:w="997"/>
        <w:gridCol w:w="707"/>
        <w:gridCol w:w="710"/>
        <w:gridCol w:w="109"/>
        <w:gridCol w:w="109"/>
        <w:gridCol w:w="109"/>
        <w:gridCol w:w="1051"/>
        <w:gridCol w:w="613"/>
        <w:gridCol w:w="875"/>
      </w:tblGrid>
      <w:tr>
        <w:trPr/>
        <w:tc>
          <w:tcPr>
            <w:tcW w:w="426"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7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5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r>
      <w:tr>
        <w:trPr/>
        <w:tc>
          <w:tcPr>
            <w:tcW w:w="11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Average Price Paid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Total Number of Shares Purchased as Part of Publicly Announced Plans or Programs </w:t>
            </w:r>
            <w:r>
              <w:rPr>
                <w:rFonts w:ascii="Times New Roman;serif" w:hAnsi="Times New Roman;serif"/>
                <w:b/>
                <w:color w:val="000000"/>
                <w:sz w:val="10"/>
              </w:rPr>
              <w:t>(1)(2)(3)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 xml:space="preserve">Maximum Number of Shares that May Yet Be Purchased Under the Plans or Programs </w:t>
            </w:r>
            <w:r>
              <w:rPr>
                <w:rFonts w:ascii="Times New Roman;serif" w:hAnsi="Times New Roman;serif"/>
                <w:b/>
                <w:color w:val="000000"/>
                <w:sz w:val="10"/>
              </w:rPr>
              <w:t>(4)</w:t>
            </w:r>
          </w:p>
        </w:tc>
      </w:tr>
      <w:tr>
        <w:trPr/>
        <w:tc>
          <w:tcPr>
            <w:tcW w:w="1183"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14,114,087 </w:t>
            </w:r>
          </w:p>
        </w:tc>
        <w:tc>
          <w:tcPr>
            <w:tcW w:w="87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4/1/2026 - 4/30/2026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1,680,000 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12.72 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1,680,000 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12,434,087 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5/1/2026 - 5/31/2026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562,500 </w:t>
            </w:r>
          </w:p>
        </w:tc>
        <w:tc>
          <w:tcPr>
            <w:tcW w:w="4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562,500 </w:t>
            </w:r>
          </w:p>
        </w:tc>
        <w:tc>
          <w:tcPr>
            <w:tcW w:w="7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11,871,587 </w:t>
            </w:r>
          </w:p>
        </w:tc>
        <w:tc>
          <w:tcPr>
            <w:tcW w:w="8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6/1/2026 - 6/30/2026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11,871,587 </w:t>
            </w:r>
          </w:p>
        </w:tc>
        <w:tc>
          <w:tcPr>
            <w:tcW w:w="8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2,242,500 </w:t>
            </w:r>
          </w:p>
        </w:tc>
        <w:tc>
          <w:tcPr>
            <w:tcW w:w="4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8"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12.99 </w:t>
            </w:r>
          </w:p>
        </w:tc>
        <w:tc>
          <w:tcPr>
            <w:tcW w:w="141"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4" w:type="dxa"/>
            <w:gridSpan w:val="2"/>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2,242,500 </w:t>
            </w:r>
          </w:p>
        </w:tc>
        <w:tc>
          <w:tcPr>
            <w:tcW w:w="710" w:type="dxa"/>
            <w:tcBorders>
              <w:top w:val="single" w:sz="8" w:space="0" w:color="000000"/>
              <w:bottom w:val="sing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r>
        <w:trPr/>
        <w:tc>
          <w:tcPr>
            <w:tcW w:w="11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539"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 On March 24, 2025, our Board approved the 2025 Repurchase Program, under which we may purchase up to 10.0 million shares of our CNNE common stock.</w:t>
      </w:r>
    </w:p>
    <w:p>
      <w:pPr>
        <w:pStyle w:val="TextBody"/>
        <w:bidi w:val="0"/>
        <w:spacing w:lineRule="auto" w:line="27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(2) On March 9, 2026, our Board approved the 2026 Repurchase Program, under which we may purchase up to 10.0 million shares of our CNNE common stock.</w:t>
      </w:r>
    </w:p>
    <w:p>
      <w:pPr>
        <w:pStyle w:val="TextBody"/>
        <w:bidi w:val="0"/>
        <w:spacing w:lineRule="auto" w:line="27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(3) On April 8, 2026, we adopted a Rule 10b-18 and 10b5-1 trading plan which allows the Company to purchase shares of our common stock under our announced repurchase programs during certain restricted blackout periods. During the term of the Rule 10b-18 and10b5-1 trading plan, purchases of common stock are automatic to the extent the conditions of the plan’s trading instructions are met. We are not obligated to purchase shares under our stock repurchase program outside of the Rule 10b-18 and 10b5-1 trading plan.</w:t>
      </w:r>
    </w:p>
    <w:p>
      <w:pPr>
        <w:pStyle w:val="TextBody"/>
        <w:bidi w:val="0"/>
        <w:spacing w:lineRule="auto" w:line="276" w:before="60" w:after="6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(4) As of the last day of the applicable month.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443" w:type="dxa"/>
        <w:jc w:val="left"/>
        <w:tblInd w:w="0" w:type="dxa"/>
        <w:tblLayout w:type="fixed"/>
        <w:tblCellMar>
          <w:top w:w="28" w:type="dxa"/>
          <w:left w:w="28" w:type="dxa"/>
          <w:bottom w:w="28" w:type="dxa"/>
          <w:right w:w="28" w:type="dxa"/>
        </w:tblCellMar>
      </w:tblPr>
      <w:tblGrid>
        <w:gridCol w:w="142"/>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25"/>
        <w:gridCol w:w="176"/>
      </w:tblGrid>
      <w:tr>
        <w:trPr/>
        <w:tc>
          <w:tcPr>
            <w:tcW w:w="14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4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tc>
      </w:tr>
    </w:tbl>
    <w:p>
      <w:pPr>
        <w:pStyle w:val="TextBody"/>
        <w:bidi w:val="0"/>
        <w:spacing w:lineRule="auto" w:line="288" w:before="100" w:after="10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4. Mine Safety Disclosures</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003"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03" w:type="dxa"/>
            <w:gridSpan w:val="27"/>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5. Other Information</w:t>
            </w:r>
          </w:p>
        </w:tc>
      </w:tr>
    </w:tbl>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20" w:after="283"/>
        <w:jc w:val="left"/>
        <w:rPr>
          <w:color w:val="000000"/>
        </w:rPr>
      </w:pPr>
      <w:r>
        <w:rPr>
          <w:color w:val="000000"/>
        </w:rPr>
        <w:t>     </w:t>
      </w:r>
      <w:r>
        <w:rPr>
          <w:rFonts w:ascii="Times New Roman;serif" w:hAnsi="Times New Roman;serif"/>
          <w:b w:val="false"/>
          <w:color w:val="000000"/>
          <w:sz w:val="20"/>
        </w:rPr>
        <w:t>(a) Exhibits: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EXHIBIT INDEX</w:t>
      </w:r>
    </w:p>
    <w:tbl>
      <w:tblPr>
        <w:tblW w:w="10205" w:type="dxa"/>
        <w:jc w:val="left"/>
        <w:tblInd w:w="0" w:type="dxa"/>
        <w:tblLayout w:type="fixed"/>
        <w:tblCellMar>
          <w:top w:w="28" w:type="dxa"/>
          <w:left w:w="28" w:type="dxa"/>
          <w:bottom w:w="28" w:type="dxa"/>
          <w:right w:w="28" w:type="dxa"/>
        </w:tblCellMar>
      </w:tblPr>
      <w:tblGrid>
        <w:gridCol w:w="268"/>
        <w:gridCol w:w="222"/>
        <w:gridCol w:w="224"/>
        <w:gridCol w:w="109"/>
        <w:gridCol w:w="109"/>
        <w:gridCol w:w="109"/>
        <w:gridCol w:w="2748"/>
        <w:gridCol w:w="2656"/>
        <w:gridCol w:w="3760"/>
      </w:tblGrid>
      <w:tr>
        <w:trPr/>
        <w:tc>
          <w:tcPr>
            <w:tcW w:w="268"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8" w:type="dxa"/>
            <w:tcBorders/>
            <w:vAlign w:val="center"/>
          </w:tcPr>
          <w:p>
            <w:pPr>
              <w:pStyle w:val="TableContents"/>
              <w:bidi w:val="0"/>
              <w:spacing w:before="0" w:after="283"/>
              <w:jc w:val="left"/>
              <w:rPr>
                <w:sz w:val="4"/>
                <w:szCs w:val="4"/>
              </w:rPr>
            </w:pPr>
            <w:r>
              <w:rPr>
                <w:sz w:val="4"/>
                <w:szCs w:val="4"/>
              </w:rPr>
            </w:r>
          </w:p>
        </w:tc>
        <w:tc>
          <w:tcPr>
            <w:tcW w:w="2656" w:type="dxa"/>
            <w:tcBorders/>
            <w:vAlign w:val="center"/>
          </w:tcPr>
          <w:p>
            <w:pPr>
              <w:pStyle w:val="TableContents"/>
              <w:bidi w:val="0"/>
              <w:spacing w:before="0" w:after="283"/>
              <w:jc w:val="left"/>
              <w:rPr>
                <w:sz w:val="4"/>
                <w:szCs w:val="4"/>
              </w:rPr>
            </w:pPr>
            <w:r>
              <w:rPr>
                <w:sz w:val="4"/>
                <w:szCs w:val="4"/>
              </w:rPr>
            </w:r>
          </w:p>
        </w:tc>
        <w:tc>
          <w:tcPr>
            <w:tcW w:w="3760" w:type="dxa"/>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Letter Agreement, dated July 15, 2026, by and among Cannae Holdings, Inc. and William P. Foley, II (incorporated by reference to Exhibit 10.1 to the Company's Current Report on Form 8-K, filed July 16, 2026).</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exhibit102blackknightfootb.htm">
              <w:r>
                <w:rPr>
                  <w:rStyle w:val="InternetLink"/>
                  <w:rFonts w:ascii="Times New Roman;serif" w:hAnsi="Times New Roman;serif"/>
                  <w:b w:val="false"/>
                  <w:color w:val="0000FF"/>
                  <w:sz w:val="20"/>
                  <w:u w:val="single"/>
                </w:rPr>
                <w:t>Third Amendment to Black Knight Football Club US, LP Agreement of Limited Partnership, effective as of July 27, 2026.</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4" w:type="dxa"/>
            <w:gridSpan w:val="3"/>
            <w:tcBorders/>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12026-q2.htm">
              <w:r>
                <w:rPr>
                  <w:rStyle w:val="InternetLink"/>
                  <w:rFonts w:ascii="Times New Roman;serif" w:hAnsi="Times New Roman;serif"/>
                  <w:b w:val="false"/>
                  <w:color w:val="0000FF"/>
                  <w:sz w:val="20"/>
                  <w:u w:val="single"/>
                </w:rPr>
                <w:t>Certification of Principal Executive Officer pursuant to Section 302 of the Sarbanes-Oxley Act of 2002.</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122026-q2.htm">
              <w:r>
                <w:rPr>
                  <w:rStyle w:val="InternetLink"/>
                  <w:rFonts w:ascii="Times New Roman;serif" w:hAnsi="Times New Roman;serif"/>
                  <w:b w:val="false"/>
                  <w:color w:val="0000FF"/>
                  <w:sz w:val="20"/>
                  <w:u w:val="single"/>
                </w:rPr>
                <w:t>Certification of Chief Financial Officer pursuant to Section 302 of the Sarbanes-Oxley Act of 2002.</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12026-q2.htm">
              <w:r>
                <w:rPr>
                  <w:rStyle w:val="InternetLink"/>
                  <w:rFonts w:ascii="Times New Roman;serif" w:hAnsi="Times New Roman;serif"/>
                  <w:b w:val="false"/>
                  <w:color w:val="0000FF"/>
                  <w:sz w:val="20"/>
                  <w:u w:val="single"/>
                </w:rPr>
                <w:t>Certification by Principal Executive Officer of Periodic Financial Reports pursuant to Section 906 of the Sarbanes-Oxley Act of 2002, 18 U.S.C. Section 1350.</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cnneexhibit3222026-q2.htm">
              <w:r>
                <w:rPr>
                  <w:rStyle w:val="InternetLink"/>
                  <w:rFonts w:ascii="Times New Roman;serif" w:hAnsi="Times New Roman;serif"/>
                  <w:b w:val="false"/>
                  <w:color w:val="0000FF"/>
                  <w:sz w:val="20"/>
                  <w:u w:val="single"/>
                </w:rPr>
                <w:t>Certification by Chief Financial Officer of Periodic Financial Reports pursuant to Section 906 of the Sarbanes-Oxley Act of 2002, 18 U.S.C. Section 1350.</w:t>
              </w:r>
            </w:hyperlink>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101.INS‡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in Inline XBRL and contained in Exhibit 101.</w:t>
            </w:r>
          </w:p>
        </w:tc>
      </w:tr>
      <w:tr>
        <w:trPr/>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Filed herewith.</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Furnished, not filed.</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0"/>
              <w:ind w:left="0" w:right="0" w:hanging="270"/>
              <w:jc w:val="left"/>
              <w:rPr>
                <w:color w:val="000000"/>
              </w:rPr>
            </w:pPr>
            <w:r>
              <w:rPr>
                <w:color w:val="000000"/>
              </w:rPr>
              <w:t xml:space="preserve">‡ </w:t>
            </w:r>
            <w:r>
              <w:rPr>
                <w:rFonts w:ascii="Times New Roman;serif" w:hAnsi="Times New Roman;serif"/>
                <w:b w:val="false"/>
                <w:color w:val="000000"/>
                <w:sz w:val="20"/>
              </w:rPr>
              <w:t>The instance document does not appear in the interactive data file because its XBRL tags are embedded within the inline XBRL document.</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xml:space="preserve">† </w:t>
            </w:r>
            <w:r>
              <w:rPr>
                <w:rFonts w:ascii="Times New Roman;serif" w:hAnsi="Times New Roman;serif"/>
                <w:b w:val="false"/>
                <w:color w:val="000000"/>
                <w:sz w:val="20"/>
              </w:rPr>
              <w:t>Indicates management contract or compensatory plan or arrangement.</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badcfa0da047460db7006d20594681a9_10">
        <w:r>
          <w:rPr>
            <w:rStyle w:val="InternetLink"/>
            <w:rFonts w:ascii="Times New Roman;serif" w:hAnsi="Times New Roman;serif"/>
            <w:b/>
            <w:color w:val="0000FF"/>
            <w:sz w:val="20"/>
            <w:u w:val="single"/>
          </w:rPr>
          <w:t>Table of Contents</w:t>
        </w:r>
      </w:hyperlink>
    </w:p>
    <w:p>
      <w:pPr>
        <w:pStyle w:val="TextBody"/>
        <w:bidi w:val="0"/>
        <w:spacing w:before="0" w:after="0"/>
        <w:jc w:val="center"/>
        <w:rPr/>
      </w:pPr>
      <w:r>
        <w:rPr/>
      </w:r>
    </w:p>
    <w:p>
      <w:pPr>
        <w:pStyle w:val="TextBody"/>
        <w:bidi w:val="0"/>
        <w:spacing w:lineRule="auto" w:line="288" w:before="360" w:after="283"/>
        <w:jc w:val="center"/>
        <w:rPr>
          <w:rFonts w:ascii="Times New Roman;serif" w:hAnsi="Times New Roman;serif"/>
          <w:b w:val="false"/>
          <w:color w:val="000000"/>
          <w:sz w:val="20"/>
        </w:rPr>
      </w:pPr>
      <w:r>
        <w:rPr>
          <w:rFonts w:ascii="Times New Roman;serif" w:hAnsi="Times New Roman;serif"/>
          <w:b w:val="false"/>
          <w:color w:val="000000"/>
          <w:sz w:val="20"/>
        </w:rPr>
        <w:t>SIGNATURES</w:t>
      </w:r>
    </w:p>
    <w:p>
      <w:pPr>
        <w:pStyle w:val="TextBody"/>
        <w:bidi w:val="0"/>
        <w:spacing w:lineRule="auto" w:line="288" w:before="120" w:after="12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thereunto duly authorized.</w:t>
      </w:r>
    </w:p>
    <w:tbl>
      <w:tblPr>
        <w:tblW w:w="7328" w:type="dxa"/>
        <w:jc w:val="left"/>
        <w:tblInd w:w="0" w:type="dxa"/>
        <w:tblLayout w:type="fixed"/>
        <w:tblCellMar>
          <w:top w:w="28" w:type="dxa"/>
          <w:left w:w="28" w:type="dxa"/>
          <w:bottom w:w="28" w:type="dxa"/>
          <w:right w:w="28" w:type="dxa"/>
        </w:tblCellMar>
      </w:tblPr>
      <w:tblGrid>
        <w:gridCol w:w="200"/>
        <w:gridCol w:w="177"/>
        <w:gridCol w:w="178"/>
        <w:gridCol w:w="484"/>
        <w:gridCol w:w="484"/>
        <w:gridCol w:w="486"/>
        <w:gridCol w:w="394"/>
        <w:gridCol w:w="394"/>
        <w:gridCol w:w="394"/>
        <w:gridCol w:w="1253"/>
        <w:gridCol w:w="1253"/>
        <w:gridCol w:w="1259"/>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3"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10, 2026</w:t>
            </w:r>
          </w:p>
        </w:tc>
        <w:tc>
          <w:tcPr>
            <w:tcW w:w="494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CANNAE HOLDINGS, INC.</w:t>
              <w:br/>
              <w:t>(registrant)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w:t>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Brett A. Correia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A. Correia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br/>
              <w:t>(Principal Financial and Accounting Officer)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2"/>
        </w:rPr>
      </w:pPr>
      <w:r>
        <w:rPr>
          <w:rFonts w:ascii="Times New Roman;serif" w:hAnsi="Times New Roman;serif"/>
          <w:b/>
          <w:color w:val="000000"/>
          <w:sz w:val="22"/>
        </w:rPr>
        <w:t>Exhibit 10.2</w:t>
      </w:r>
    </w:p>
    <w:p>
      <w:pPr>
        <w:pStyle w:val="TextBody"/>
        <w:bidi w:val="0"/>
        <w:spacing w:before="0" w:after="0"/>
        <w:jc w:val="right"/>
        <w:rPr/>
      </w:pPr>
      <w:r>
        <w:rPr/>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THIRD AMENDMENT TO</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BLACK KNIGHT FOOTBALL CLUB US, LP</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AGREEMENT OF LIMITED PARTNERSHIP</w:t>
      </w:r>
    </w:p>
    <w:p>
      <w:pPr>
        <w:pStyle w:val="TextBody"/>
        <w:bidi w:val="0"/>
        <w:spacing w:before="0" w:after="0"/>
        <w:jc w:val="center"/>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This Third Amendment (“Third Amendment”) is effective as July 27, 2026 (the “Third Amendment Effective Date”) and amends and supplements that certain Agreement of Limited Partnership of Black Knight Football and Entertainment (n/k/a Black Knight Football Club US, LP), a Nevada limited partnership, dated September 21, 2022, as amended on January 1, 2025 and March 7, 2025 (together, the “Agreement”).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NOW THEREFORE, in consideration of the mutual promises and covenants contained herein, the parties agree as follows:</w:t>
      </w:r>
    </w:p>
    <w:p>
      <w:pPr>
        <w:pStyle w:val="TextBody"/>
        <w:bidi w:val="0"/>
        <w:spacing w:before="0" w:after="0"/>
        <w:jc w:val="both"/>
        <w:rPr/>
      </w:pPr>
      <w:r>
        <w:rPr/>
      </w:r>
    </w:p>
    <w:p>
      <w:pPr>
        <w:pStyle w:val="TextBody"/>
        <w:bidi w:val="0"/>
        <w:spacing w:lineRule="auto" w:line="288" w:before="0" w:after="0"/>
        <w:jc w:val="center"/>
        <w:rPr>
          <w:rFonts w:ascii="Times New Roman;serif" w:hAnsi="Times New Roman;serif"/>
          <w:b w:val="false"/>
          <w:color w:val="000000"/>
          <w:sz w:val="22"/>
        </w:rPr>
      </w:pPr>
      <w:r>
        <w:rPr>
          <w:rFonts w:ascii="Times New Roman;serif" w:hAnsi="Times New Roman;serif"/>
          <w:b w:val="false"/>
          <w:color w:val="000000"/>
          <w:sz w:val="22"/>
        </w:rPr>
        <w:t>W I T N E S S E T H:</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In consideration of the parties having entered into the Agreement and for other good and valuable consideration, the receipt and sufficiency of which are hereby acknowledged, the parties agree as follows:</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1.Incentive Plan. Section 4.07() shall be deleted in its entirety and replaced as follows: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2"/>
        </w:rPr>
      </w:pPr>
      <w:r>
        <w:rPr>
          <w:rFonts w:ascii="Times New Roman;serif" w:hAnsi="Times New Roman;serif"/>
          <w:b w:val="false"/>
          <w:color w:val="000000"/>
          <w:sz w:val="22"/>
        </w:rPr>
        <w:t>(b)    The maximum number of Incentive Units that may be issued under the Incentive Plan shall be thirty-nine million four thousand three hundred fifty-three (39,004,353); provided, however, the maximum number of Incentive Units that may be issued under the Incentive Plan may be increased by the General Partner upon the prior consent of Cannae.</w:t>
      </w:r>
    </w:p>
    <w:p>
      <w:pPr>
        <w:pStyle w:val="TextBody"/>
        <w:bidi w:val="0"/>
        <w:spacing w:before="0" w:after="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2.All capitalized terms in this Third Amendment shall have the same meaning as set forth in the Agreement, unless defined herein. </w:t>
      </w:r>
    </w:p>
    <w:p>
      <w:pPr>
        <w:pStyle w:val="TextBody"/>
        <w:bidi w:val="0"/>
        <w:spacing w:before="0" w:after="0"/>
        <w:ind w:left="0" w:right="0" w:hanging="720"/>
        <w:jc w:val="both"/>
        <w:rPr/>
      </w:pPr>
      <w:r>
        <w:rPr/>
      </w:r>
    </w:p>
    <w:p>
      <w:pPr>
        <w:pStyle w:val="TextBody"/>
        <w:bidi w:val="0"/>
        <w:spacing w:lineRule="auto" w:line="288" w:before="0" w:after="0"/>
        <w:ind w:left="0" w:right="0" w:hanging="360"/>
        <w:jc w:val="both"/>
        <w:rPr>
          <w:rFonts w:ascii="Times New Roman;serif" w:hAnsi="Times New Roman;serif"/>
          <w:b w:val="false"/>
          <w:color w:val="000000"/>
          <w:sz w:val="22"/>
        </w:rPr>
      </w:pPr>
      <w:r>
        <w:rPr>
          <w:rFonts w:ascii="Times New Roman;serif" w:hAnsi="Times New Roman;serif"/>
          <w:b w:val="false"/>
          <w:color w:val="000000"/>
          <w:sz w:val="22"/>
        </w:rPr>
        <w:t xml:space="preserve">3.    This Third Amendment may be executed in counterparts; each of which shall be original, but such counterparts shall together constitute one and the same document.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[Remainder of page is intentionally blank.] </w:t>
      </w:r>
    </w:p>
    <w:p>
      <w:pPr>
        <w:pStyle w:val="TextBody"/>
        <w:bidi w:val="0"/>
        <w:jc w:val="both"/>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351155"/>
                <wp:effectExtent l="0" t="0" r="0" b="0"/>
                <wp:wrapNone/>
                <wp:docPr id="41" name="Frame41"/>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IN WITNESS WHEREOF, the parties have executed this Third Amendment to be effective as of the Third Amendment Effective Date. </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BLACK KNIGHT FOOTBALLL CLUB US, LP</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BK Football Club US, LLC (f/k/a BK Football and Entertainment, LLC), as general partner</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William P. Foley, II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William P. Foley, II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Title: Chairman, Chief Executive Officer and President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BK FOOTBALL CLUB US, LLC, as general partner</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(owning a 3.99% General Partner Percentage Interest)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William P. Foley, II    </w:t>
      </w: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William P. Foley, II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Title: Chairman, Chief Executive Officer and President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 xml:space="preserve">BILCAR LIMITED PARTNERSHIP (owing a 17.87% Limited Partner Percentage Interest)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By: Bognor Regis, Inc., as general partner</w:t>
      </w:r>
    </w:p>
    <w:p>
      <w:pPr>
        <w:pStyle w:val="TextBody"/>
        <w:bidi w:val="0"/>
        <w:spacing w:before="0" w:after="0"/>
        <w:jc w:val="both"/>
        <w:rPr/>
      </w:pPr>
      <w:r>
        <w:rPr/>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William P. Foley, II    </w:t>
      </w: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William P. Foley, II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President and Treasurer</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CANNAE HOLDINGS, INC. (owning a 42.33% Limited Partner Percentage Interest)</w:t>
      </w:r>
    </w:p>
    <w:p>
      <w:pPr>
        <w:pStyle w:val="TextBody"/>
        <w:bidi w:val="0"/>
        <w:spacing w:before="0" w:after="0"/>
        <w:jc w:val="both"/>
        <w:rPr/>
      </w:pPr>
      <w:r>
        <w:rPr/>
      </w:r>
    </w:p>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22"/>
        </w:rPr>
        <w:t xml:space="preserve">By: </w:t>
      </w:r>
      <w:r>
        <w:rPr>
          <w:rFonts w:ascii="Times New Roman;serif" w:hAnsi="Times New Roman;serif"/>
          <w:b w:val="false"/>
          <w:color w:val="000000"/>
          <w:sz w:val="22"/>
          <w:u w:val="single"/>
        </w:rPr>
        <w:t>/s/ Ryan R. Caswell    </w:t>
      </w:r>
      <w:r>
        <w:rPr>
          <w:color w:val="000000"/>
        </w:rPr>
        <w:t>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Name:     Ryan R. Caswell     </w:t>
      </w:r>
    </w:p>
    <w:p>
      <w:pPr>
        <w:pStyle w:val="TextBody"/>
        <w:bidi w:val="0"/>
        <w:spacing w:lineRule="auto" w:line="288" w:before="0" w:after="0"/>
        <w:jc w:val="both"/>
        <w:rPr>
          <w:rFonts w:ascii="Times New Roman;serif" w:hAnsi="Times New Roman;serif"/>
          <w:b w:val="false"/>
          <w:color w:val="000000"/>
          <w:sz w:val="22"/>
        </w:rPr>
      </w:pPr>
      <w:r>
        <w:rPr>
          <w:rFonts w:ascii="Times New Roman;serif" w:hAnsi="Times New Roman;serif"/>
          <w:b w:val="false"/>
          <w:color w:val="000000"/>
          <w:sz w:val="22"/>
        </w:rPr>
        <w:t>Title: Chief Executive Officer</w:t>
      </w:r>
    </w:p>
    <w:p>
      <w:pPr>
        <w:pStyle w:val="TextBody"/>
        <w:bidi w:val="0"/>
        <w:spacing w:before="0" w:after="0"/>
        <w:jc w:val="both"/>
        <w:rPr/>
      </w:pPr>
      <w:r>
        <w:rPr/>
      </w:r>
    </w:p>
    <w:p>
      <w:pPr>
        <w:pStyle w:val="TextBody"/>
        <w:bidi w:val="0"/>
        <w:spacing w:before="0" w:after="0"/>
        <w:jc w:val="both"/>
        <w:rPr/>
      </w:pPr>
      <w:r>
        <w:rPr/>
      </w:r>
    </w:p>
    <w:p>
      <w:pPr>
        <w:pStyle w:val="TextBody"/>
        <w:bidi w:val="0"/>
        <w:jc w:val="both"/>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351155"/>
                <wp:effectExtent l="0" t="0" r="0" b="0"/>
                <wp:wrapNone/>
                <wp:docPr id="42" name="Frame4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 Ryan R. Caswell, certify that: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tbl>
      <w:tblPr>
        <w:tblW w:w="541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63"/>
        <w:gridCol w:w="1363"/>
        <w:gridCol w:w="1939"/>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363" w:type="dxa"/>
            <w:tcBorders/>
            <w:vAlign w:val="center"/>
          </w:tcPr>
          <w:p>
            <w:pPr>
              <w:pStyle w:val="TableContents"/>
              <w:bidi w:val="0"/>
              <w:spacing w:before="0" w:after="283"/>
              <w:jc w:val="left"/>
              <w:rPr>
                <w:sz w:val="4"/>
                <w:szCs w:val="4"/>
              </w:rPr>
            </w:pPr>
            <w:r>
              <w:rPr>
                <w:sz w:val="4"/>
                <w:szCs w:val="4"/>
              </w:rPr>
            </w:r>
          </w:p>
        </w:tc>
        <w:tc>
          <w:tcPr>
            <w:tcW w:w="1939"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Ryan R. Caswell</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Ryan R. Caswell </w:t>
              <w:br/>
              <w:t>Chief Executive Officer and Principal Executive Officer</w:t>
            </w:r>
          </w:p>
        </w:tc>
      </w:tr>
    </w:tbl>
    <w:p>
      <w:pPr>
        <w:pStyle w:val="TextBody"/>
        <w:bidi w:val="0"/>
        <w:spacing w:before="0" w:after="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6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75260"/>
                <wp:effectExtent l="0" t="0" r="0" b="0"/>
                <wp:wrapNone/>
                <wp:docPr id="43"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31.2</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CERTIFICATIONS</w:t>
      </w:r>
      <w:r>
        <w:rPr>
          <w:color w:val="000000"/>
        </w:rPr>
        <w:t xml:space="preserve">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 Brett A. Correia, certify that: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1. I have reviewed this quarterly report on Form 10-Q of Cannae Holdings, Inc.;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3. 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72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both"/>
        <w:rPr/>
      </w:pPr>
      <w:r>
        <w:rPr/>
      </w:r>
    </w:p>
    <w:p>
      <w:pPr>
        <w:pStyle w:val="TextBody"/>
        <w:bidi w:val="0"/>
        <w:spacing w:lineRule="auto" w:line="288" w:before="0" w:after="180"/>
        <w:jc w:val="both"/>
        <w:rPr>
          <w:rFonts w:ascii="Times New Roman;serif" w:hAnsi="Times New Roman;serif"/>
          <w:b w:val="false"/>
          <w:color w:val="000000"/>
          <w:sz w:val="20"/>
        </w:rPr>
      </w:pPr>
      <w:r>
        <w:rPr>
          <w:rFonts w:ascii="Times New Roman;serif" w:hAnsi="Times New Roman;serif"/>
          <w:b w:val="false"/>
          <w:color w:val="000000"/>
          <w:sz w:val="20"/>
        </w:rPr>
        <w:t xml:space="preserve">5. The registrant's other certifying officer and I have disclosed, based on our most recent evaluation of internal control over financial reporting, to the registrant's auditors and the audit committee of registrant's board of directors (or persons performing the equivalent functions): </w:t>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jc w:val="both"/>
        <w:rPr/>
      </w:pPr>
      <w:r>
        <w:rPr/>
      </w:r>
    </w:p>
    <w:p>
      <w:pPr>
        <w:pStyle w:val="TextBody"/>
        <w:bidi w:val="0"/>
        <w:spacing w:lineRule="auto" w:line="288" w:before="0" w:after="0"/>
        <w:ind w:left="0" w:right="0" w:hanging="1080"/>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0" w:after="0"/>
        <w:jc w:val="both"/>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tbl>
      <w:tblPr>
        <w:tblW w:w="5292" w:type="dxa"/>
        <w:jc w:val="left"/>
        <w:tblInd w:w="0" w:type="dxa"/>
        <w:tblLayout w:type="fixed"/>
        <w:tblCellMar>
          <w:top w:w="28" w:type="dxa"/>
          <w:left w:w="28" w:type="dxa"/>
          <w:bottom w:w="28" w:type="dxa"/>
          <w:right w:w="28" w:type="dxa"/>
        </w:tblCellMar>
      </w:tblPr>
      <w:tblGrid>
        <w:gridCol w:w="151"/>
        <w:gridCol w:w="134"/>
        <w:gridCol w:w="135"/>
        <w:gridCol w:w="109"/>
        <w:gridCol w:w="109"/>
        <w:gridCol w:w="109"/>
        <w:gridCol w:w="1330"/>
        <w:gridCol w:w="1330"/>
        <w:gridCol w:w="1885"/>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Brett A. Correia</w:t>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4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A. Correia</w:t>
              <w:br/>
              <w:t>Chief Financial Officer and Principal Financial Officer</w:t>
            </w:r>
          </w:p>
        </w:tc>
      </w:tr>
    </w:tbl>
    <w:p>
      <w:pPr>
        <w:pStyle w:val="TextBody"/>
        <w:bidi w:val="0"/>
        <w:spacing w:before="0" w:after="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75260"/>
                <wp:effectExtent l="0" t="0" r="0" b="0"/>
                <wp:wrapNone/>
                <wp:docPr id="44" name="Frame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lineRule="auto" w:line="288" w:before="0" w:after="0"/>
        <w:jc w:val="right"/>
        <w:rPr/>
      </w:pPr>
      <w:r>
        <w:rPr>
          <w:rFonts w:ascii="Times New Roman;serif" w:hAnsi="Times New Roman;serif"/>
          <w:b/>
          <w:color w:val="000000"/>
          <w:sz w:val="20"/>
        </w:rPr>
        <w:t>Exhibit 32.1</w:t>
      </w:r>
      <w:r>
        <w:rPr>
          <w:color w:val="000000"/>
        </w:rPr>
        <w:t xml:space="preserve"> </w:t>
      </w:r>
    </w:p>
    <w:p>
      <w:pPr>
        <w:pStyle w:val="TextBody"/>
        <w:bidi w:val="0"/>
        <w:spacing w:before="0" w:after="0"/>
        <w:jc w:val="right"/>
        <w:rPr/>
      </w:pPr>
      <w:r>
        <w:rPr/>
      </w:r>
    </w:p>
    <w:p>
      <w:pPr>
        <w:pStyle w:val="TextBody"/>
        <w:bidi w:val="0"/>
        <w:spacing w:lineRule="auto" w:line="288" w:before="0" w:after="0"/>
        <w:jc w:val="center"/>
        <w:rPr/>
      </w:pPr>
      <w:r>
        <w:rPr>
          <w:rFonts w:ascii="Times New Roman;serif" w:hAnsi="Times New Roman;serif"/>
          <w:b/>
          <w:color w:val="000000"/>
          <w:sz w:val="20"/>
        </w:rPr>
        <w:t>CERTIFICATION OF PERIODIC FINANCIAL REPORTS PURSUANT TO 18 U.S.C. §1350</w:t>
      </w:r>
      <w:r>
        <w:rPr>
          <w:color w:val="000000"/>
        </w:rPr>
        <w:t xml:space="preserve"> </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The undersigned hereby certifies that he is the duly appointed and acting Principal Executive Officer of Cannae Holdings, Inc., a Nevada corporation (the “Company”), and hereby further certifies as follows. </w:t>
      </w:r>
    </w:p>
    <w:p>
      <w:pPr>
        <w:pStyle w:val="TextBody"/>
        <w:bidi w:val="0"/>
        <w:spacing w:lineRule="auto" w:line="288" w:before="0" w:after="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In witness whereof, the undersigned has executed and delivered this certificate as of the date set forth opposite his signature below. </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tbl>
      <w:tblPr>
        <w:tblW w:w="5412" w:type="dxa"/>
        <w:jc w:val="left"/>
        <w:tblInd w:w="0" w:type="dxa"/>
        <w:tblLayout w:type="fixed"/>
        <w:tblCellMar>
          <w:top w:w="28" w:type="dxa"/>
          <w:left w:w="28" w:type="dxa"/>
          <w:bottom w:w="28" w:type="dxa"/>
          <w:right w:w="28" w:type="dxa"/>
        </w:tblCellMar>
      </w:tblPr>
      <w:tblGrid>
        <w:gridCol w:w="151"/>
        <w:gridCol w:w="134"/>
        <w:gridCol w:w="135"/>
        <w:gridCol w:w="1538"/>
        <w:gridCol w:w="1538"/>
        <w:gridCol w:w="1544"/>
        <w:gridCol w:w="109"/>
        <w:gridCol w:w="109"/>
        <w:gridCol w:w="154"/>
      </w:tblGrid>
      <w:tr>
        <w:trPr/>
        <w:tc>
          <w:tcPr>
            <w:tcW w:w="1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Ryan R. Caswell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Ryan R. Caswell</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and Principal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75260"/>
                <wp:effectExtent l="0" t="0" r="0" b="0"/>
                <wp:wrapNone/>
                <wp:docPr id="45" name="Frame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pPr>
      <w:r>
        <w:rPr>
          <w:rFonts w:ascii="Times New Roman;serif" w:hAnsi="Times New Roman;serif"/>
          <w:b/>
          <w:color w:val="000000"/>
          <w:sz w:val="20"/>
        </w:rPr>
        <w:t>Exhibit 32.2</w:t>
      </w:r>
      <w:r>
        <w:rPr>
          <w:color w:val="000000"/>
        </w:rPr>
        <w:t xml:space="preserve"> </w:t>
      </w:r>
    </w:p>
    <w:p>
      <w:pPr>
        <w:pStyle w:val="TextBody"/>
        <w:bidi w:val="0"/>
        <w:spacing w:before="0" w:after="0"/>
        <w:jc w:val="right"/>
        <w:rPr/>
      </w:pPr>
      <w:r>
        <w:rPr/>
      </w:r>
    </w:p>
    <w:p>
      <w:pPr>
        <w:pStyle w:val="TextBody"/>
        <w:bidi w:val="0"/>
        <w:spacing w:lineRule="auto" w:line="288" w:before="0" w:after="180"/>
        <w:jc w:val="center"/>
        <w:rPr/>
      </w:pPr>
      <w:r>
        <w:rPr>
          <w:rFonts w:ascii="Times New Roman;serif" w:hAnsi="Times New Roman;serif"/>
          <w:b/>
          <w:color w:val="000000"/>
          <w:sz w:val="20"/>
        </w:rPr>
        <w:t>CERTIFICATION OF PERIODIC FINANCIAL REPORTS PURSUANT TO 18 U.S.C. §1350</w:t>
      </w:r>
      <w:r>
        <w:rPr>
          <w:color w:val="000000"/>
        </w:rPr>
        <w:t xml:space="preserve"> </w:t>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 xml:space="preserve">The undersigned hereby certifies that he is the duly appointed and acting Chief Financial Officer of Cannae Holdings, Inc., a Nevada corporation (the “Company”), and hereby further certifies as follows. </w:t>
      </w:r>
    </w:p>
    <w:p>
      <w:pPr>
        <w:pStyle w:val="TextBody"/>
        <w:bidi w:val="0"/>
        <w:spacing w:lineRule="auto" w:line="288" w:before="0" w:after="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1.The periodic report containing financial statements to which this certificate is an exhibit fully complies with the requirements of Section 13(a) or 15(d) of the Securities Exchange Act of 1934.</w:t>
      </w:r>
    </w:p>
    <w:p>
      <w:pPr>
        <w:pStyle w:val="TextBody"/>
        <w:bidi w:val="0"/>
        <w:spacing w:before="0" w:after="0"/>
        <w:jc w:val="both"/>
        <w:rPr/>
      </w:pPr>
      <w:r>
        <w:rPr/>
      </w:r>
    </w:p>
    <w:p>
      <w:pPr>
        <w:pStyle w:val="TextBody"/>
        <w:bidi w:val="0"/>
        <w:spacing w:lineRule="auto" w:line="288" w:before="0" w:after="0"/>
        <w:ind w:left="0" w:right="0" w:hanging="990"/>
        <w:jc w:val="both"/>
        <w:rPr>
          <w:rFonts w:ascii="Times New Roman;serif" w:hAnsi="Times New Roman;serif"/>
          <w:b w:val="false"/>
          <w:color w:val="000000"/>
          <w:sz w:val="20"/>
        </w:rPr>
      </w:pPr>
      <w:r>
        <w:rPr>
          <w:rFonts w:ascii="Times New Roman;serif" w:hAnsi="Times New Roman;serif"/>
          <w:b w:val="false"/>
          <w:color w:val="000000"/>
          <w:sz w:val="20"/>
        </w:rPr>
        <w:t>2.The information contained in the periodic report to which this certificate is an exhibit fairly presents, in all material respects, the financial condition and results of operations of the Company.</w:t>
      </w:r>
    </w:p>
    <w:p>
      <w:pPr>
        <w:pStyle w:val="TextBody"/>
        <w:bidi w:val="0"/>
        <w:spacing w:before="0" w:after="0"/>
        <w:jc w:val="both"/>
        <w:rPr/>
      </w:pPr>
      <w:r>
        <w:rPr/>
      </w:r>
    </w:p>
    <w:p>
      <w:pPr>
        <w:pStyle w:val="TextBody"/>
        <w:bidi w:val="0"/>
        <w:spacing w:lineRule="auto" w:line="288" w:before="0" w:after="240"/>
        <w:jc w:val="both"/>
        <w:rPr>
          <w:color w:val="000000"/>
        </w:rPr>
      </w:pPr>
      <w:r>
        <w:rPr>
          <w:color w:val="000000"/>
        </w:rPr>
        <w:t>     </w:t>
      </w:r>
      <w:r>
        <w:rPr>
          <w:rFonts w:ascii="Times New Roman;serif" w:hAnsi="Times New Roman;serif"/>
          <w:b w:val="false"/>
          <w:color w:val="000000"/>
          <w:sz w:val="20"/>
        </w:rPr>
        <w:t>In witness whereof, the undersigned has executed and delivered this certificate as of the date set forth opposite his signature below.</w:t>
      </w:r>
    </w:p>
    <w:p>
      <w:pPr>
        <w:pStyle w:val="TextBody"/>
        <w:bidi w:val="0"/>
        <w:spacing w:lineRule="auto" w:line="288" w:before="0" w:after="240"/>
        <w:jc w:val="both"/>
        <w:rPr>
          <w:rFonts w:ascii="Times New Roman;serif" w:hAnsi="Times New Roman;serif"/>
          <w:b w:val="false"/>
          <w:color w:val="000000"/>
          <w:sz w:val="20"/>
        </w:rPr>
      </w:pPr>
      <w:r>
        <w:rPr>
          <w:rFonts w:ascii="Times New Roman;serif" w:hAnsi="Times New Roman;serif"/>
          <w:b w:val="false"/>
          <w:color w:val="000000"/>
          <w:sz w:val="20"/>
        </w:rPr>
        <w:t xml:space="preserve">Date: August 10, 2026 </w:t>
      </w:r>
    </w:p>
    <w:tbl>
      <w:tblPr>
        <w:tblW w:w="5351" w:type="dxa"/>
        <w:jc w:val="left"/>
        <w:tblInd w:w="0" w:type="dxa"/>
        <w:tblLayout w:type="fixed"/>
        <w:tblCellMar>
          <w:top w:w="28" w:type="dxa"/>
          <w:left w:w="28" w:type="dxa"/>
          <w:bottom w:w="28" w:type="dxa"/>
          <w:right w:w="28" w:type="dxa"/>
        </w:tblCellMar>
      </w:tblPr>
      <w:tblGrid>
        <w:gridCol w:w="173"/>
        <w:gridCol w:w="153"/>
        <w:gridCol w:w="154"/>
        <w:gridCol w:w="1498"/>
        <w:gridCol w:w="1498"/>
        <w:gridCol w:w="1503"/>
        <w:gridCol w:w="109"/>
        <w:gridCol w:w="109"/>
        <w:gridCol w:w="154"/>
      </w:tblGrid>
      <w:tr>
        <w:trPr/>
        <w:tc>
          <w:tcPr>
            <w:tcW w:w="17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val="false"/>
                <w:color w:val="000000"/>
                <w:sz w:val="20"/>
              </w:rPr>
              <w:t>By:</w:t>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/s/ Brett A. Correia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Brett A. Correia</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 and Principal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pStyle w:val="TextBody"/>
        <w:bidi w:val="0"/>
        <w:spacing w:lineRule="auto" w:line="288" w:before="0" w:after="100"/>
        <w:jc w:val="center"/>
        <w:rPr>
          <w:color w:val="000000"/>
        </w:rPr>
      </w:pPr>
      <w:r>
        <w:rPr>
          <w:color w:val="000000"/>
        </w:rPr>
        <w:t xml:space="preserve">  </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704720/000170472026000140/exhibit101letteragreement.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22366</Words>
  <Characters>122243</Characters>
  <CharactersWithSpaces>143190</CharactersWithSpaces>
  <Paragraphs>3369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